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6D856" w14:textId="77777777" w:rsidR="004E4C14" w:rsidRDefault="004E4C14" w:rsidP="00EC6998">
      <w:pPr>
        <w:tabs>
          <w:tab w:val="left" w:pos="851"/>
        </w:tabs>
        <w:spacing w:line="360" w:lineRule="auto"/>
        <w:ind w:left="-709" w:right="-568"/>
        <w:jc w:val="both"/>
        <w:rPr>
          <w:rFonts w:ascii="Arial" w:hAnsi="Arial" w:cs="Arial"/>
          <w:sz w:val="24"/>
          <w:szCs w:val="24"/>
          <w:u w:val="single"/>
        </w:rPr>
      </w:pPr>
    </w:p>
    <w:p w14:paraId="03F4DD15" w14:textId="2F4CCF18"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170B65">
        <w:rPr>
          <w:rFonts w:ascii="Arial" w:hAnsi="Arial" w:cs="Arial"/>
          <w:sz w:val="24"/>
          <w:szCs w:val="24"/>
          <w:u w:val="single"/>
        </w:rPr>
        <w:t>1</w:t>
      </w:r>
      <w:r w:rsidR="00612251">
        <w:rPr>
          <w:rFonts w:ascii="Arial" w:hAnsi="Arial" w:cs="Arial"/>
          <w:sz w:val="24"/>
          <w:szCs w:val="24"/>
          <w:u w:val="single"/>
        </w:rPr>
        <w:t>4</w:t>
      </w:r>
      <w:r w:rsidR="00BA2DB2">
        <w:rPr>
          <w:rFonts w:ascii="Arial" w:hAnsi="Arial" w:cs="Arial"/>
          <w:sz w:val="24"/>
          <w:szCs w:val="24"/>
          <w:u w:val="single"/>
        </w:rPr>
        <w:t>2</w:t>
      </w:r>
      <w:r w:rsidRPr="00E87F34">
        <w:rPr>
          <w:rFonts w:ascii="Arial" w:hAnsi="Arial" w:cs="Arial"/>
          <w:sz w:val="24"/>
          <w:szCs w:val="24"/>
          <w:u w:val="single"/>
        </w:rPr>
        <w:t>/20</w:t>
      </w:r>
      <w:r w:rsidR="00954A18" w:rsidRPr="00E87F34">
        <w:rPr>
          <w:rFonts w:ascii="Arial" w:hAnsi="Arial" w:cs="Arial"/>
          <w:sz w:val="24"/>
          <w:szCs w:val="24"/>
          <w:u w:val="single"/>
        </w:rPr>
        <w:t>2</w:t>
      </w:r>
      <w:r w:rsidR="005C55EF">
        <w:rPr>
          <w:rFonts w:ascii="Arial" w:hAnsi="Arial" w:cs="Arial"/>
          <w:sz w:val="24"/>
          <w:szCs w:val="24"/>
          <w:u w:val="single"/>
        </w:rPr>
        <w:t>1</w:t>
      </w:r>
    </w:p>
    <w:p w14:paraId="2071B4D3" w14:textId="2CC846DC" w:rsidR="00F97657" w:rsidRDefault="007C7686" w:rsidP="00350802">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0007C9">
        <w:rPr>
          <w:rFonts w:ascii="Arial" w:hAnsi="Arial" w:cs="Arial"/>
          <w:sz w:val="24"/>
          <w:szCs w:val="24"/>
        </w:rPr>
        <w:t>1</w:t>
      </w:r>
      <w:r w:rsidR="00BA2DB2">
        <w:rPr>
          <w:rFonts w:ascii="Arial" w:hAnsi="Arial" w:cs="Arial"/>
          <w:sz w:val="24"/>
          <w:szCs w:val="24"/>
        </w:rPr>
        <w:t>18</w:t>
      </w:r>
      <w:r w:rsidRPr="00E87F34">
        <w:rPr>
          <w:rFonts w:ascii="Arial" w:hAnsi="Arial" w:cs="Arial"/>
          <w:sz w:val="24"/>
          <w:szCs w:val="24"/>
        </w:rPr>
        <w:t>/20</w:t>
      </w:r>
      <w:r w:rsidR="00091353" w:rsidRPr="00E87F34">
        <w:rPr>
          <w:rFonts w:ascii="Arial" w:hAnsi="Arial" w:cs="Arial"/>
          <w:sz w:val="24"/>
          <w:szCs w:val="24"/>
        </w:rPr>
        <w:t>2</w:t>
      </w:r>
      <w:r w:rsidR="002E06E7">
        <w:rPr>
          <w:rFonts w:ascii="Arial" w:hAnsi="Arial" w:cs="Arial"/>
          <w:sz w:val="24"/>
          <w:szCs w:val="24"/>
        </w:rPr>
        <w:t>1</w:t>
      </w:r>
      <w:r w:rsidRPr="00E87F34">
        <w:rPr>
          <w:rFonts w:ascii="Arial" w:hAnsi="Arial" w:cs="Arial"/>
          <w:sz w:val="24"/>
          <w:szCs w:val="24"/>
        </w:rPr>
        <w:t xml:space="preserve"> oriundo do Poder </w:t>
      </w:r>
      <w:r w:rsidR="00CF2BBB">
        <w:rPr>
          <w:rFonts w:ascii="Arial" w:hAnsi="Arial" w:cs="Arial"/>
          <w:sz w:val="24"/>
          <w:szCs w:val="24"/>
        </w:rPr>
        <w:t>Executivo</w:t>
      </w:r>
    </w:p>
    <w:p w14:paraId="4ADC4BB7" w14:textId="00519283" w:rsidR="00612251" w:rsidRDefault="00612251" w:rsidP="00350802">
      <w:pPr>
        <w:pStyle w:val="Ttulo"/>
        <w:ind w:left="-709" w:right="-568"/>
        <w:jc w:val="both"/>
        <w:rPr>
          <w:rFonts w:ascii="Arial" w:hAnsi="Arial" w:cs="Arial"/>
          <w:sz w:val="24"/>
          <w:szCs w:val="24"/>
        </w:rPr>
      </w:pPr>
    </w:p>
    <w:p w14:paraId="31A6421C" w14:textId="61AEAA63" w:rsidR="00121BEB" w:rsidRDefault="00121BEB" w:rsidP="00350802">
      <w:pPr>
        <w:pStyle w:val="Ttulo"/>
        <w:ind w:left="-709" w:right="-568"/>
        <w:jc w:val="both"/>
        <w:rPr>
          <w:rFonts w:ascii="Arial" w:hAnsi="Arial" w:cs="Arial"/>
          <w:sz w:val="24"/>
          <w:szCs w:val="24"/>
        </w:rPr>
      </w:pPr>
    </w:p>
    <w:p w14:paraId="2CAECF18" w14:textId="6E9C9ADD" w:rsidR="00F4356D" w:rsidRPr="00F4356D" w:rsidRDefault="00F4356D" w:rsidP="00F4356D">
      <w:pPr>
        <w:spacing w:after="160" w:line="276" w:lineRule="auto"/>
        <w:ind w:left="2694" w:right="-710" w:firstLine="5"/>
        <w:rPr>
          <w:rFonts w:ascii="Arial" w:hAnsi="Arial" w:cs="Arial"/>
          <w:bCs/>
          <w:sz w:val="24"/>
          <w:szCs w:val="24"/>
        </w:rPr>
      </w:pPr>
      <w:r w:rsidRPr="00F4356D">
        <w:rPr>
          <w:rFonts w:ascii="Arial" w:hAnsi="Arial" w:cs="Arial"/>
          <w:bCs/>
          <w:sz w:val="24"/>
          <w:szCs w:val="24"/>
        </w:rPr>
        <w:t>Dispõe sobre as diretrizes orçamentárias para o exercício financeiro de 2022</w:t>
      </w:r>
      <w:r w:rsidRPr="00F4356D">
        <w:rPr>
          <w:rFonts w:ascii="Arial" w:hAnsi="Arial" w:cs="Arial"/>
          <w:bCs/>
          <w:i/>
          <w:sz w:val="24"/>
          <w:szCs w:val="24"/>
        </w:rPr>
        <w:t>.</w:t>
      </w:r>
    </w:p>
    <w:p w14:paraId="494BA5EF" w14:textId="77777777" w:rsidR="00F4356D" w:rsidRPr="00F4356D" w:rsidRDefault="00F4356D" w:rsidP="00F4356D">
      <w:pPr>
        <w:tabs>
          <w:tab w:val="left" w:pos="3544"/>
        </w:tabs>
        <w:spacing w:line="276" w:lineRule="auto"/>
        <w:ind w:left="3686" w:right="-710"/>
        <w:jc w:val="both"/>
        <w:rPr>
          <w:rFonts w:ascii="Arial" w:hAnsi="Arial" w:cs="Arial"/>
          <w:b/>
          <w:i/>
          <w:sz w:val="20"/>
        </w:rPr>
      </w:pPr>
    </w:p>
    <w:p w14:paraId="76298FF9" w14:textId="77777777" w:rsidR="00F4356D" w:rsidRPr="00F4356D" w:rsidRDefault="00F4356D" w:rsidP="00F4356D">
      <w:pPr>
        <w:spacing w:after="200" w:line="276" w:lineRule="auto"/>
        <w:ind w:right="-710" w:firstLine="708"/>
        <w:jc w:val="both"/>
        <w:rPr>
          <w:rFonts w:ascii="Arial" w:hAnsi="Arial" w:cs="Arial"/>
          <w:bCs/>
          <w:iCs/>
          <w:sz w:val="24"/>
          <w:szCs w:val="24"/>
        </w:rPr>
      </w:pPr>
      <w:r w:rsidRPr="00F4356D">
        <w:rPr>
          <w:rFonts w:ascii="Arial" w:hAnsi="Arial" w:cs="Arial"/>
          <w:b/>
          <w:i/>
          <w:sz w:val="24"/>
          <w:szCs w:val="24"/>
        </w:rPr>
        <w:t>EDMILSON BUSATTO</w:t>
      </w:r>
      <w:r w:rsidRPr="00F4356D">
        <w:rPr>
          <w:rFonts w:ascii="Arial" w:hAnsi="Arial" w:cs="Arial"/>
          <w:bCs/>
          <w:iCs/>
          <w:sz w:val="24"/>
          <w:szCs w:val="24"/>
        </w:rPr>
        <w:t>, Prefeito Municipal de Bom Retiro do Sul, Estado do Rio Grande do Sul, em cumprimento ao disposto no art. 58 da Lei Orgânica do Município;</w:t>
      </w:r>
    </w:p>
    <w:p w14:paraId="33852E9B" w14:textId="77777777" w:rsidR="00F4356D" w:rsidRPr="00F4356D" w:rsidRDefault="00F4356D" w:rsidP="00F4356D">
      <w:pPr>
        <w:spacing w:after="200" w:line="276" w:lineRule="auto"/>
        <w:ind w:left="142" w:right="-710" w:firstLine="566"/>
        <w:jc w:val="both"/>
        <w:rPr>
          <w:rFonts w:ascii="Arial" w:hAnsi="Arial" w:cs="Arial"/>
          <w:sz w:val="24"/>
          <w:szCs w:val="24"/>
        </w:rPr>
      </w:pPr>
      <w:r w:rsidRPr="00F4356D">
        <w:rPr>
          <w:rFonts w:ascii="Arial" w:hAnsi="Arial" w:cs="Arial"/>
          <w:b/>
          <w:bCs/>
          <w:i/>
          <w:iCs/>
          <w:sz w:val="24"/>
          <w:szCs w:val="24"/>
        </w:rPr>
        <w:t xml:space="preserve">FAÇO SABER </w:t>
      </w:r>
      <w:r w:rsidRPr="00F4356D">
        <w:rPr>
          <w:rFonts w:ascii="Arial" w:hAnsi="Arial" w:cs="Arial"/>
          <w:sz w:val="24"/>
          <w:szCs w:val="24"/>
        </w:rPr>
        <w:t>que o Poder Legislativo aprovou e eu sanciono e promulgo a seguinte Lei:</w:t>
      </w:r>
    </w:p>
    <w:p w14:paraId="1759C08F" w14:textId="77777777" w:rsidR="00F4356D" w:rsidRPr="00F4356D" w:rsidRDefault="00F4356D" w:rsidP="00F4356D">
      <w:pPr>
        <w:spacing w:after="160" w:line="276" w:lineRule="auto"/>
        <w:ind w:left="142" w:right="-710" w:firstLine="566"/>
        <w:jc w:val="both"/>
        <w:rPr>
          <w:rFonts w:ascii="Arial" w:hAnsi="Arial" w:cs="Arial"/>
          <w:sz w:val="24"/>
          <w:szCs w:val="24"/>
        </w:rPr>
      </w:pPr>
      <w:r w:rsidRPr="00F4356D">
        <w:rPr>
          <w:rFonts w:ascii="Arial" w:hAnsi="Arial" w:cs="Arial"/>
          <w:b/>
          <w:bCs/>
          <w:sz w:val="24"/>
          <w:szCs w:val="24"/>
        </w:rPr>
        <w:t>Art. 1º</w:t>
      </w:r>
      <w:r w:rsidRPr="00F4356D">
        <w:rPr>
          <w:rFonts w:ascii="Arial" w:hAnsi="Arial" w:cs="Arial"/>
          <w:sz w:val="24"/>
          <w:szCs w:val="24"/>
        </w:rPr>
        <w:t xml:space="preserve"> Ficam estabelecidas, em cumprimento ao disposto no art. 165, § 2.º, da Constituição Federal, no art. 105 da Lei Orgânica do Município, e na Lei Complementar nº 101, de 04 de maio de 2000, as diretrizes gerais para elaboração do orçamento do Município, relativas ao exercício de 2022, compreendendo:</w:t>
      </w:r>
    </w:p>
    <w:p w14:paraId="693CF60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 - as metas e as prioridades da administração municipal;</w:t>
      </w:r>
    </w:p>
    <w:p w14:paraId="62B760B4"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 - a organização e estrutura do orçamento;</w:t>
      </w:r>
    </w:p>
    <w:p w14:paraId="3005C464"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III - as diretrizes para elaboração e execução do orçamento e suas alterações;</w:t>
      </w:r>
    </w:p>
    <w:p w14:paraId="684BF27D"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IV - as disposições relativas à dívida pública municipal;</w:t>
      </w:r>
    </w:p>
    <w:p w14:paraId="44A28E2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V - as disposições relativas às despesas do Município com pessoal e encargos sociais;</w:t>
      </w:r>
    </w:p>
    <w:p w14:paraId="2B349230"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VI - as disposições sobre alterações na legislação tributária;</w:t>
      </w:r>
    </w:p>
    <w:p w14:paraId="1AD9065E"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VII - as disposições gerais.</w:t>
      </w:r>
    </w:p>
    <w:p w14:paraId="12D61034"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Parágrafo único. Integram esta lei os seguintes anexos:</w:t>
      </w:r>
    </w:p>
    <w:p w14:paraId="39385C61" w14:textId="77777777" w:rsidR="00F4356D" w:rsidRPr="00F4356D" w:rsidRDefault="00F4356D" w:rsidP="00F4356D">
      <w:pPr>
        <w:spacing w:after="160" w:line="276" w:lineRule="auto"/>
        <w:ind w:right="-710"/>
        <w:jc w:val="both"/>
        <w:rPr>
          <w:rFonts w:ascii="Arial" w:hAnsi="Arial" w:cs="Arial"/>
          <w:sz w:val="24"/>
          <w:szCs w:val="24"/>
        </w:rPr>
      </w:pPr>
      <w:r w:rsidRPr="00F4356D">
        <w:rPr>
          <w:rFonts w:ascii="Arial" w:hAnsi="Arial" w:cs="Arial"/>
          <w:sz w:val="24"/>
          <w:szCs w:val="24"/>
        </w:rPr>
        <w:t xml:space="preserve">I – </w:t>
      </w:r>
      <w:r w:rsidRPr="00F4356D">
        <w:rPr>
          <w:rFonts w:ascii="Arial" w:hAnsi="Arial" w:cs="Arial"/>
          <w:b/>
          <w:sz w:val="24"/>
          <w:szCs w:val="24"/>
        </w:rPr>
        <w:t>Anexo I</w:t>
      </w:r>
      <w:r w:rsidRPr="00F4356D">
        <w:rPr>
          <w:rFonts w:ascii="Arial" w:hAnsi="Arial" w:cs="Arial"/>
          <w:sz w:val="24"/>
          <w:szCs w:val="24"/>
        </w:rPr>
        <w:t>, de metas fiscais, composto dos demonstrativos:</w:t>
      </w:r>
    </w:p>
    <w:p w14:paraId="423CC5A3"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a) das metas fiscais anuais de acordo com o art. 4</w:t>
      </w:r>
      <w:r w:rsidRPr="00F4356D">
        <w:rPr>
          <w:rFonts w:ascii="Arial" w:hAnsi="Arial" w:cs="Arial"/>
          <w:color w:val="000000"/>
          <w:sz w:val="24"/>
          <w:szCs w:val="24"/>
          <w:u w:val="single"/>
          <w:vertAlign w:val="superscript"/>
        </w:rPr>
        <w:t>o</w:t>
      </w:r>
      <w:r w:rsidRPr="00F4356D">
        <w:rPr>
          <w:rFonts w:ascii="Arial" w:hAnsi="Arial" w:cs="Arial"/>
          <w:sz w:val="24"/>
          <w:szCs w:val="24"/>
        </w:rPr>
        <w:t>, § 1</w:t>
      </w:r>
      <w:r w:rsidRPr="00F4356D">
        <w:rPr>
          <w:rFonts w:ascii="Arial" w:hAnsi="Arial" w:cs="Arial"/>
          <w:color w:val="000000"/>
          <w:sz w:val="24"/>
          <w:szCs w:val="24"/>
          <w:u w:val="single"/>
          <w:vertAlign w:val="superscript"/>
        </w:rPr>
        <w:t>o</w:t>
      </w:r>
      <w:r w:rsidRPr="00F4356D">
        <w:rPr>
          <w:rFonts w:ascii="Arial" w:hAnsi="Arial" w:cs="Arial"/>
          <w:sz w:val="24"/>
          <w:szCs w:val="24"/>
        </w:rPr>
        <w:t>, da Lei Complementar nº 101/2000, acompanhado da memória e metodologia de cálculo;</w:t>
      </w:r>
    </w:p>
    <w:p w14:paraId="3076D43C"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b) da avaliação do cumprimento das metas fiscais relativas ao ano de 2020;</w:t>
      </w:r>
    </w:p>
    <w:p w14:paraId="59B8C95A"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c) das metas fiscais previstas para 2022, 2023 e 2024, comparadas com as fixadas nos exercícios de 2019, 2020 e 2021;</w:t>
      </w:r>
    </w:p>
    <w:p w14:paraId="21116D72"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d) da evolução do patrimônio líquido, conforme o art. 4</w:t>
      </w:r>
      <w:r w:rsidRPr="00F4356D">
        <w:rPr>
          <w:rFonts w:ascii="Arial" w:hAnsi="Arial" w:cs="Arial"/>
          <w:color w:val="000000"/>
          <w:sz w:val="24"/>
          <w:szCs w:val="24"/>
          <w:u w:val="single"/>
          <w:vertAlign w:val="superscript"/>
        </w:rPr>
        <w:t>o</w:t>
      </w:r>
      <w:r w:rsidRPr="00F4356D">
        <w:rPr>
          <w:rFonts w:ascii="Arial" w:hAnsi="Arial" w:cs="Arial"/>
          <w:sz w:val="24"/>
          <w:szCs w:val="24"/>
        </w:rPr>
        <w:t>, § 2</w:t>
      </w:r>
      <w:r w:rsidRPr="00F4356D">
        <w:rPr>
          <w:rFonts w:ascii="Arial" w:hAnsi="Arial" w:cs="Arial"/>
          <w:color w:val="000000"/>
          <w:sz w:val="24"/>
          <w:szCs w:val="24"/>
          <w:u w:val="single"/>
          <w:vertAlign w:val="superscript"/>
        </w:rPr>
        <w:t>o</w:t>
      </w:r>
      <w:r w:rsidRPr="00F4356D">
        <w:rPr>
          <w:rFonts w:ascii="Arial" w:hAnsi="Arial" w:cs="Arial"/>
          <w:sz w:val="24"/>
          <w:szCs w:val="24"/>
        </w:rPr>
        <w:t>, inciso III, da Lei Complementar nº 101/2000;</w:t>
      </w:r>
    </w:p>
    <w:p w14:paraId="34A0698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lastRenderedPageBreak/>
        <w:t>e) da origem e aplicação dos recursos obtidos com a alienação de ativos, em cumprimento ao disposto no art. 4</w:t>
      </w:r>
      <w:r w:rsidRPr="00F4356D">
        <w:rPr>
          <w:rFonts w:ascii="Arial" w:hAnsi="Arial" w:cs="Arial"/>
          <w:color w:val="000000"/>
          <w:sz w:val="24"/>
          <w:szCs w:val="24"/>
          <w:u w:val="single"/>
          <w:vertAlign w:val="superscript"/>
        </w:rPr>
        <w:t>o</w:t>
      </w:r>
      <w:r w:rsidRPr="00F4356D">
        <w:rPr>
          <w:rFonts w:ascii="Arial" w:hAnsi="Arial" w:cs="Arial"/>
          <w:sz w:val="24"/>
          <w:szCs w:val="24"/>
        </w:rPr>
        <w:t>, § 2</w:t>
      </w:r>
      <w:r w:rsidRPr="00F4356D">
        <w:rPr>
          <w:rFonts w:ascii="Arial" w:hAnsi="Arial" w:cs="Arial"/>
          <w:color w:val="000000"/>
          <w:sz w:val="24"/>
          <w:szCs w:val="24"/>
          <w:u w:val="single"/>
          <w:vertAlign w:val="superscript"/>
        </w:rPr>
        <w:t>o</w:t>
      </w:r>
      <w:r w:rsidRPr="00F4356D">
        <w:rPr>
          <w:rFonts w:ascii="Arial" w:hAnsi="Arial" w:cs="Arial"/>
          <w:sz w:val="24"/>
          <w:szCs w:val="24"/>
        </w:rPr>
        <w:t>, inciso III, da Lei Complementar nº 101/2000;</w:t>
      </w:r>
    </w:p>
    <w:p w14:paraId="08FD6C50"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f) da estimativa e compensação da renúncia de receita, conforme art. 4</w:t>
      </w:r>
      <w:r w:rsidRPr="00F4356D">
        <w:rPr>
          <w:rFonts w:ascii="Arial" w:hAnsi="Arial" w:cs="Arial"/>
          <w:color w:val="000000"/>
          <w:sz w:val="24"/>
          <w:szCs w:val="24"/>
          <w:u w:val="single"/>
          <w:vertAlign w:val="superscript"/>
        </w:rPr>
        <w:t>o</w:t>
      </w:r>
      <w:r w:rsidRPr="00F4356D">
        <w:rPr>
          <w:rFonts w:ascii="Arial" w:hAnsi="Arial" w:cs="Arial"/>
          <w:sz w:val="24"/>
          <w:szCs w:val="24"/>
        </w:rPr>
        <w:t>, § 2</w:t>
      </w:r>
      <w:r w:rsidRPr="00F4356D">
        <w:rPr>
          <w:rFonts w:ascii="Arial" w:hAnsi="Arial" w:cs="Arial"/>
          <w:color w:val="000000"/>
          <w:sz w:val="24"/>
          <w:szCs w:val="24"/>
          <w:u w:val="single"/>
          <w:vertAlign w:val="superscript"/>
        </w:rPr>
        <w:t>o</w:t>
      </w:r>
      <w:r w:rsidRPr="00F4356D">
        <w:rPr>
          <w:rFonts w:ascii="Arial" w:hAnsi="Arial" w:cs="Arial"/>
          <w:sz w:val="24"/>
          <w:szCs w:val="24"/>
        </w:rPr>
        <w:t>, inciso V, da Lei Complementar nº 101/2000;</w:t>
      </w:r>
    </w:p>
    <w:p w14:paraId="7D30EDBC"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g) da margem de expansão das Despesas Obrigatórias de Caráter Continuado (DOCC), conforme art. 4</w:t>
      </w:r>
      <w:r w:rsidRPr="00F4356D">
        <w:rPr>
          <w:rFonts w:ascii="Arial" w:hAnsi="Arial" w:cs="Arial"/>
          <w:color w:val="000000"/>
          <w:sz w:val="24"/>
          <w:szCs w:val="24"/>
          <w:u w:val="single"/>
          <w:vertAlign w:val="superscript"/>
        </w:rPr>
        <w:t>o</w:t>
      </w:r>
      <w:r w:rsidRPr="00F4356D">
        <w:rPr>
          <w:rFonts w:ascii="Arial" w:hAnsi="Arial" w:cs="Arial"/>
          <w:sz w:val="24"/>
          <w:szCs w:val="24"/>
        </w:rPr>
        <w:t>, § 2</w:t>
      </w:r>
      <w:r w:rsidRPr="00F4356D">
        <w:rPr>
          <w:rFonts w:ascii="Arial" w:hAnsi="Arial" w:cs="Arial"/>
          <w:color w:val="000000"/>
          <w:sz w:val="24"/>
          <w:szCs w:val="24"/>
          <w:u w:val="single"/>
          <w:vertAlign w:val="superscript"/>
        </w:rPr>
        <w:t>o</w:t>
      </w:r>
      <w:r w:rsidRPr="00F4356D">
        <w:rPr>
          <w:rFonts w:ascii="Arial" w:hAnsi="Arial" w:cs="Arial"/>
          <w:sz w:val="24"/>
          <w:szCs w:val="24"/>
        </w:rPr>
        <w:t>, inciso V, da Lei Complementar nº 101/2000, cujo resultado, caso negativo, é meramente indicativo de alerta para a criação de novas DOCC, ou, se positivo, de espaço para a criação de novas DOCC.</w:t>
      </w:r>
    </w:p>
    <w:p w14:paraId="591D39BC" w14:textId="77777777" w:rsidR="00F4356D" w:rsidRPr="00F4356D" w:rsidRDefault="00F4356D" w:rsidP="00F4356D">
      <w:pPr>
        <w:spacing w:after="160" w:line="276" w:lineRule="auto"/>
        <w:ind w:right="-710"/>
        <w:jc w:val="both"/>
        <w:rPr>
          <w:rFonts w:ascii="Arial" w:hAnsi="Arial" w:cs="Arial"/>
          <w:snapToGrid w:val="0"/>
          <w:sz w:val="24"/>
          <w:szCs w:val="24"/>
        </w:rPr>
      </w:pPr>
      <w:r w:rsidRPr="00F4356D">
        <w:rPr>
          <w:rFonts w:ascii="Arial" w:hAnsi="Arial" w:cs="Arial"/>
          <w:sz w:val="24"/>
          <w:szCs w:val="24"/>
        </w:rPr>
        <w:t xml:space="preserve">II – </w:t>
      </w:r>
      <w:r w:rsidRPr="00F4356D">
        <w:rPr>
          <w:rFonts w:ascii="Arial" w:hAnsi="Arial" w:cs="Arial"/>
          <w:b/>
          <w:bCs/>
          <w:sz w:val="24"/>
          <w:szCs w:val="24"/>
        </w:rPr>
        <w:t>Anexo II</w:t>
      </w:r>
      <w:r w:rsidRPr="00F4356D">
        <w:rPr>
          <w:rFonts w:ascii="Arial" w:hAnsi="Arial" w:cs="Arial"/>
          <w:sz w:val="24"/>
          <w:szCs w:val="24"/>
        </w:rPr>
        <w:t xml:space="preserve">, de Riscos Fiscais e providências, contendo a avaliação dos </w:t>
      </w:r>
      <w:r w:rsidRPr="00F4356D">
        <w:rPr>
          <w:rFonts w:ascii="Arial" w:hAnsi="Arial" w:cs="Arial"/>
          <w:snapToGrid w:val="0"/>
          <w:sz w:val="24"/>
          <w:szCs w:val="24"/>
        </w:rPr>
        <w:t>riscos orçamentários e os passivos contingentes capazes de afetar as contas públicas, em cumprimento ao art. 4</w:t>
      </w:r>
      <w:r w:rsidRPr="00F4356D">
        <w:rPr>
          <w:rFonts w:ascii="Arial" w:hAnsi="Arial" w:cs="Arial"/>
          <w:color w:val="000000"/>
          <w:sz w:val="24"/>
          <w:szCs w:val="24"/>
          <w:u w:val="single"/>
          <w:vertAlign w:val="superscript"/>
        </w:rPr>
        <w:t>o</w:t>
      </w:r>
      <w:r w:rsidRPr="00F4356D">
        <w:rPr>
          <w:rFonts w:ascii="Arial" w:hAnsi="Arial" w:cs="Arial"/>
          <w:snapToGrid w:val="0"/>
          <w:sz w:val="24"/>
          <w:szCs w:val="24"/>
        </w:rPr>
        <w:t>, § 3</w:t>
      </w:r>
      <w:r w:rsidRPr="00F4356D">
        <w:rPr>
          <w:rFonts w:ascii="Arial" w:hAnsi="Arial" w:cs="Arial"/>
          <w:color w:val="000000"/>
          <w:sz w:val="24"/>
          <w:szCs w:val="24"/>
          <w:u w:val="single"/>
          <w:vertAlign w:val="superscript"/>
        </w:rPr>
        <w:t>o</w:t>
      </w:r>
      <w:r w:rsidRPr="00F4356D">
        <w:rPr>
          <w:rFonts w:ascii="Arial" w:hAnsi="Arial" w:cs="Arial"/>
          <w:snapToGrid w:val="0"/>
          <w:sz w:val="24"/>
          <w:szCs w:val="24"/>
        </w:rPr>
        <w:t>, da Lei Complementar nº 101/2000.</w:t>
      </w:r>
      <w:bookmarkStart w:id="0" w:name="_Toc515609475"/>
      <w:bookmarkStart w:id="1" w:name="_Toc45524645"/>
    </w:p>
    <w:p w14:paraId="513CC5A0" w14:textId="77777777" w:rsidR="00F4356D" w:rsidRPr="00F4356D" w:rsidRDefault="00F4356D" w:rsidP="00F4356D">
      <w:pPr>
        <w:spacing w:line="276" w:lineRule="auto"/>
        <w:ind w:right="-710"/>
        <w:jc w:val="center"/>
        <w:rPr>
          <w:rFonts w:ascii="Arial" w:hAnsi="Arial" w:cs="Arial"/>
          <w:b/>
          <w:bCs/>
          <w:sz w:val="24"/>
          <w:szCs w:val="24"/>
        </w:rPr>
      </w:pPr>
      <w:r w:rsidRPr="00F4356D">
        <w:rPr>
          <w:rFonts w:ascii="Arial" w:hAnsi="Arial" w:cs="Arial"/>
          <w:b/>
          <w:bCs/>
          <w:sz w:val="24"/>
          <w:szCs w:val="24"/>
        </w:rPr>
        <w:t>Capítulo II - Das Metas e Prioridades da Administração Pública Municipal</w:t>
      </w:r>
      <w:bookmarkEnd w:id="0"/>
      <w:bookmarkEnd w:id="1"/>
    </w:p>
    <w:p w14:paraId="23766D48" w14:textId="77777777" w:rsidR="00F4356D" w:rsidRPr="00F4356D" w:rsidRDefault="00F4356D" w:rsidP="00F4356D">
      <w:pPr>
        <w:spacing w:line="276" w:lineRule="auto"/>
        <w:ind w:right="-710"/>
        <w:jc w:val="center"/>
        <w:rPr>
          <w:rFonts w:ascii="Arial" w:hAnsi="Arial" w:cs="Arial"/>
          <w:b/>
          <w:bCs/>
          <w:sz w:val="24"/>
          <w:szCs w:val="24"/>
        </w:rPr>
      </w:pPr>
    </w:p>
    <w:p w14:paraId="114B3B0D"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2º</w:t>
      </w:r>
      <w:r w:rsidRPr="00F4356D">
        <w:rPr>
          <w:rFonts w:ascii="Arial" w:hAnsi="Arial" w:cs="Arial"/>
          <w:sz w:val="24"/>
          <w:szCs w:val="24"/>
        </w:rPr>
        <w:t xml:space="preserve"> A elaboração e aprovação do Projeto de Lei Orçamentária e a execução da respectiva Lei deverão ser compatíveis com a obtenção da meta de superávit primário consolidado, de R$ 889.707,00 (oitocentos e oitenta e nove mil, setecentos e sete reais), conforme demonstrado no Anexo de Metas Fiscais constante do Anexo I a esta Lei.</w:t>
      </w:r>
    </w:p>
    <w:p w14:paraId="0E2517AD"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b/>
          <w:bCs/>
          <w:snapToGrid w:val="0"/>
          <w:sz w:val="24"/>
          <w:szCs w:val="24"/>
        </w:rPr>
        <w:t>§ 1</w:t>
      </w:r>
      <w:r w:rsidRPr="00F4356D">
        <w:rPr>
          <w:rFonts w:ascii="Arial" w:hAnsi="Arial" w:cs="Arial"/>
          <w:b/>
          <w:bCs/>
          <w:sz w:val="24"/>
          <w:szCs w:val="24"/>
          <w:u w:val="single"/>
          <w:vertAlign w:val="superscript"/>
        </w:rPr>
        <w:t>o</w:t>
      </w:r>
      <w:r w:rsidRPr="00F4356D">
        <w:rPr>
          <w:rFonts w:ascii="Arial" w:hAnsi="Arial" w:cs="Arial"/>
          <w:snapToGrid w:val="0"/>
          <w:sz w:val="24"/>
          <w:szCs w:val="24"/>
        </w:rPr>
        <w:t xml:space="preserve"> A meta de resultado primário poderá ser ajustada quando do encaminhamento do projeto de lei orçamentária anual, se verificadas alterações no comportamento das variáveis macroeconômicas utilizadas nas estimativas das receitas e despesas;</w:t>
      </w:r>
    </w:p>
    <w:p w14:paraId="4009F2EF"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b/>
          <w:bCs/>
          <w:snapToGrid w:val="0"/>
          <w:sz w:val="24"/>
          <w:szCs w:val="24"/>
        </w:rPr>
        <w:t>§ 2º</w:t>
      </w:r>
      <w:r w:rsidRPr="00F4356D">
        <w:rPr>
          <w:rFonts w:ascii="Arial" w:hAnsi="Arial" w:cs="Arial"/>
          <w:snapToGrid w:val="0"/>
          <w:sz w:val="24"/>
          <w:szCs w:val="24"/>
        </w:rPr>
        <w:t xml:space="preserve">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 </w:t>
      </w:r>
    </w:p>
    <w:p w14:paraId="58B97F4F"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napToGrid w:val="0"/>
          <w:sz w:val="24"/>
          <w:szCs w:val="24"/>
        </w:rPr>
        <w:t>§ 3</w:t>
      </w:r>
      <w:r w:rsidRPr="00F4356D">
        <w:rPr>
          <w:rFonts w:ascii="Arial" w:hAnsi="Arial" w:cs="Arial"/>
          <w:b/>
          <w:bCs/>
          <w:sz w:val="24"/>
          <w:szCs w:val="24"/>
          <w:u w:val="single"/>
          <w:vertAlign w:val="superscript"/>
        </w:rPr>
        <w:t>o</w:t>
      </w:r>
      <w:r w:rsidRPr="00F4356D">
        <w:rPr>
          <w:rFonts w:ascii="Arial" w:hAnsi="Arial" w:cs="Arial"/>
          <w:snapToGrid w:val="0"/>
          <w:sz w:val="24"/>
          <w:szCs w:val="24"/>
        </w:rPr>
        <w:t xml:space="preserve"> Se prejuízo do disposto no art. 65, II, da Lei Complementar nº 101/2000, a meta resultado primário poderá ser revisado em decorrência da frustração da arrecadação das receitas </w:t>
      </w:r>
      <w:r w:rsidRPr="00F4356D">
        <w:rPr>
          <w:rFonts w:ascii="Arial" w:hAnsi="Arial" w:cs="Arial"/>
          <w:sz w:val="24"/>
          <w:szCs w:val="24"/>
        </w:rPr>
        <w:t>que são objeto das transferências previstas nos arts. 158, 159 e 212-</w:t>
      </w:r>
      <w:proofErr w:type="gramStart"/>
      <w:r w:rsidRPr="00F4356D">
        <w:rPr>
          <w:rFonts w:ascii="Arial" w:hAnsi="Arial" w:cs="Arial"/>
          <w:sz w:val="24"/>
          <w:szCs w:val="24"/>
        </w:rPr>
        <w:t>A  da</w:t>
      </w:r>
      <w:proofErr w:type="gramEnd"/>
      <w:r w:rsidRPr="00F4356D">
        <w:rPr>
          <w:rFonts w:ascii="Arial" w:hAnsi="Arial" w:cs="Arial"/>
          <w:sz w:val="24"/>
          <w:szCs w:val="24"/>
        </w:rPr>
        <w:t xml:space="preserve"> Constituição Federal, ou em decorrência da instabilidade do cenário econômico e fiscal devido aos reflexos do enfrentamento da Pandemia denominada COVID-19.</w:t>
      </w:r>
    </w:p>
    <w:p w14:paraId="5F55D44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napToGrid w:val="0"/>
          <w:sz w:val="24"/>
          <w:szCs w:val="24"/>
        </w:rPr>
        <w:t>§ 4</w:t>
      </w:r>
      <w:r w:rsidRPr="00F4356D">
        <w:rPr>
          <w:rFonts w:ascii="Arial" w:hAnsi="Arial" w:cs="Arial"/>
          <w:b/>
          <w:bCs/>
          <w:sz w:val="24"/>
          <w:szCs w:val="24"/>
          <w:u w:val="single"/>
          <w:vertAlign w:val="superscript"/>
        </w:rPr>
        <w:t>o</w:t>
      </w:r>
      <w:r w:rsidRPr="00F4356D">
        <w:rPr>
          <w:rFonts w:ascii="Arial" w:hAnsi="Arial" w:cs="Arial"/>
          <w:snapToGrid w:val="0"/>
          <w:sz w:val="24"/>
          <w:szCs w:val="24"/>
        </w:rPr>
        <w:t xml:space="preserve"> Para os fins do disposto no § 3º, considera-se frustração de arrecadação, a diferença a menor que for observada entre os valores da arrecadação acumulada do exercício, em comparação com igual período do ano anterior.</w:t>
      </w:r>
    </w:p>
    <w:p w14:paraId="7ABDE582"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b/>
          <w:bCs/>
          <w:snapToGrid w:val="0"/>
          <w:sz w:val="24"/>
          <w:szCs w:val="24"/>
        </w:rPr>
        <w:t>§ 5</w:t>
      </w:r>
      <w:r w:rsidRPr="00F4356D">
        <w:rPr>
          <w:rFonts w:ascii="Arial" w:hAnsi="Arial" w:cs="Arial"/>
          <w:b/>
          <w:bCs/>
          <w:sz w:val="24"/>
          <w:szCs w:val="24"/>
          <w:u w:val="single"/>
          <w:vertAlign w:val="superscript"/>
        </w:rPr>
        <w:t>o</w:t>
      </w:r>
      <w:r w:rsidRPr="00F4356D">
        <w:rPr>
          <w:rFonts w:ascii="Arial" w:hAnsi="Arial" w:cs="Arial"/>
          <w:snapToGrid w:val="0"/>
          <w:sz w:val="24"/>
          <w:szCs w:val="24"/>
        </w:rPr>
        <w:t xml:space="preserve"> Nas hipóteses de ajustes da meta de resultado primário, e para efeitos da audiência pública prevista no art. 9</w:t>
      </w:r>
      <w:r w:rsidRPr="00F4356D">
        <w:rPr>
          <w:rFonts w:ascii="Arial" w:hAnsi="Arial" w:cs="Arial"/>
          <w:sz w:val="24"/>
          <w:szCs w:val="24"/>
          <w:u w:val="single"/>
          <w:vertAlign w:val="superscript"/>
        </w:rPr>
        <w:t>o</w:t>
      </w:r>
      <w:r w:rsidRPr="00F4356D">
        <w:rPr>
          <w:rFonts w:ascii="Arial" w:hAnsi="Arial" w:cs="Arial"/>
          <w:snapToGrid w:val="0"/>
          <w:sz w:val="24"/>
          <w:szCs w:val="24"/>
        </w:rPr>
        <w:t>, § 4</w:t>
      </w:r>
      <w:r w:rsidRPr="00F4356D">
        <w:rPr>
          <w:rFonts w:ascii="Arial" w:hAnsi="Arial" w:cs="Arial"/>
          <w:sz w:val="24"/>
          <w:szCs w:val="24"/>
          <w:u w:val="single"/>
          <w:vertAlign w:val="superscript"/>
        </w:rPr>
        <w:t>o</w:t>
      </w:r>
      <w:r w:rsidRPr="00F4356D">
        <w:rPr>
          <w:rFonts w:ascii="Arial" w:hAnsi="Arial" w:cs="Arial"/>
          <w:snapToGrid w:val="0"/>
          <w:sz w:val="24"/>
          <w:szCs w:val="24"/>
        </w:rPr>
        <w:t xml:space="preserve">, da </w:t>
      </w:r>
      <w:r w:rsidRPr="00F4356D">
        <w:rPr>
          <w:rFonts w:ascii="Arial" w:hAnsi="Arial" w:cs="Arial"/>
          <w:sz w:val="24"/>
          <w:szCs w:val="24"/>
        </w:rPr>
        <w:t xml:space="preserve">Lei Complementar nº 101/2000, </w:t>
      </w:r>
      <w:r w:rsidRPr="00F4356D">
        <w:rPr>
          <w:rFonts w:ascii="Arial" w:hAnsi="Arial" w:cs="Arial"/>
          <w:snapToGrid w:val="0"/>
          <w:sz w:val="24"/>
          <w:szCs w:val="24"/>
        </w:rPr>
        <w:t>a meta alcançada será comparada com a meta ajustada.</w:t>
      </w:r>
    </w:p>
    <w:p w14:paraId="621AA921"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b/>
          <w:bCs/>
          <w:snapToGrid w:val="0"/>
          <w:sz w:val="24"/>
          <w:szCs w:val="24"/>
        </w:rPr>
        <w:lastRenderedPageBreak/>
        <w:t>Art. 3</w:t>
      </w:r>
      <w:r w:rsidRPr="00F4356D">
        <w:rPr>
          <w:rFonts w:ascii="Arial" w:hAnsi="Arial" w:cs="Arial"/>
          <w:b/>
          <w:bCs/>
          <w:color w:val="000000"/>
          <w:sz w:val="24"/>
          <w:szCs w:val="24"/>
        </w:rPr>
        <w:t>º</w:t>
      </w:r>
      <w:r w:rsidRPr="00F4356D">
        <w:rPr>
          <w:rFonts w:ascii="Arial" w:hAnsi="Arial" w:cs="Arial"/>
          <w:color w:val="000000"/>
          <w:sz w:val="24"/>
          <w:szCs w:val="24"/>
        </w:rPr>
        <w:t xml:space="preserve"> </w:t>
      </w:r>
      <w:r w:rsidRPr="00F4356D">
        <w:rPr>
          <w:rFonts w:ascii="Arial" w:hAnsi="Arial" w:cs="Arial"/>
          <w:snapToGrid w:val="0"/>
          <w:sz w:val="24"/>
          <w:szCs w:val="24"/>
        </w:rPr>
        <w:t>As metas e prioridades para o exercício financeiro de 2022 relacionadas com a execução de programas e ações orçamentária estão estruturadas de acordo com o Plano Plurianual para 2022/2025 - Lei n</w:t>
      </w:r>
      <w:r w:rsidRPr="00F4356D">
        <w:rPr>
          <w:rFonts w:ascii="Arial" w:hAnsi="Arial" w:cs="Arial"/>
          <w:color w:val="000000"/>
          <w:sz w:val="24"/>
          <w:szCs w:val="24"/>
          <w:u w:val="single"/>
          <w:vertAlign w:val="superscript"/>
        </w:rPr>
        <w:t>o</w:t>
      </w:r>
      <w:r w:rsidRPr="00F4356D">
        <w:rPr>
          <w:rFonts w:ascii="Arial" w:hAnsi="Arial" w:cs="Arial"/>
          <w:snapToGrid w:val="0"/>
          <w:sz w:val="24"/>
          <w:szCs w:val="24"/>
        </w:rPr>
        <w:t xml:space="preserve"> 4.950 de 31 de agosto 2021 e suas alterações, estão especificadas no Anexo III desta Lei.</w:t>
      </w:r>
    </w:p>
    <w:p w14:paraId="33D74F66"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w:t>
      </w:r>
      <w:r w:rsidRPr="00F4356D">
        <w:rPr>
          <w:rFonts w:ascii="Arial" w:hAnsi="Arial" w:cs="Arial"/>
          <w:b/>
          <w:bCs/>
          <w:color w:val="000000"/>
          <w:sz w:val="24"/>
          <w:szCs w:val="24"/>
        </w:rPr>
        <w:t>º</w:t>
      </w:r>
      <w:r w:rsidRPr="00F4356D">
        <w:rPr>
          <w:rFonts w:ascii="Arial" w:hAnsi="Arial" w:cs="Arial"/>
          <w:color w:val="000000"/>
          <w:sz w:val="24"/>
          <w:szCs w:val="24"/>
        </w:rPr>
        <w:t xml:space="preserve"> A</w:t>
      </w:r>
      <w:r w:rsidRPr="00F4356D">
        <w:rPr>
          <w:rFonts w:ascii="Arial" w:hAnsi="Arial" w:cs="Arial"/>
          <w:sz w:val="24"/>
          <w:szCs w:val="24"/>
        </w:rPr>
        <w:t xml:space="preserve">s metas e prioridades de que trata o </w:t>
      </w:r>
      <w:r w:rsidRPr="00F4356D">
        <w:rPr>
          <w:rFonts w:ascii="Arial" w:hAnsi="Arial" w:cs="Arial"/>
          <w:i/>
          <w:sz w:val="24"/>
          <w:szCs w:val="24"/>
        </w:rPr>
        <w:t>caput</w:t>
      </w:r>
      <w:r w:rsidRPr="00F4356D">
        <w:rPr>
          <w:rFonts w:ascii="Arial" w:hAnsi="Arial" w:cs="Arial"/>
          <w:sz w:val="24"/>
          <w:szCs w:val="24"/>
        </w:rPr>
        <w: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14:paraId="660DD1EC"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2</w:t>
      </w:r>
      <w:r w:rsidRPr="00F4356D">
        <w:rPr>
          <w:rFonts w:ascii="Arial" w:hAnsi="Arial" w:cs="Arial"/>
          <w:b/>
          <w:bCs/>
          <w:color w:val="000000"/>
          <w:sz w:val="24"/>
          <w:szCs w:val="24"/>
        </w:rPr>
        <w:t>º</w:t>
      </w:r>
      <w:r w:rsidRPr="00F4356D">
        <w:rPr>
          <w:rFonts w:ascii="Arial" w:hAnsi="Arial" w:cs="Arial"/>
          <w:color w:val="000000"/>
          <w:sz w:val="24"/>
          <w:szCs w:val="24"/>
        </w:rPr>
        <w:t xml:space="preserve"> </w:t>
      </w:r>
      <w:r w:rsidRPr="00F4356D">
        <w:rPr>
          <w:rFonts w:ascii="Arial" w:hAnsi="Arial" w:cs="Arial"/>
          <w:sz w:val="24"/>
          <w:szCs w:val="24"/>
        </w:rPr>
        <w:t>Na hipótese prevista no parágrafo 1</w:t>
      </w:r>
      <w:r w:rsidRPr="00F4356D">
        <w:rPr>
          <w:rFonts w:ascii="Arial" w:hAnsi="Arial" w:cs="Arial"/>
          <w:color w:val="000000"/>
          <w:sz w:val="24"/>
          <w:szCs w:val="24"/>
          <w:u w:val="single"/>
          <w:vertAlign w:val="superscript"/>
        </w:rPr>
        <w:t>o</w:t>
      </w:r>
      <w:r w:rsidRPr="00F4356D">
        <w:rPr>
          <w:rFonts w:ascii="Arial" w:hAnsi="Arial" w:cs="Arial"/>
          <w:sz w:val="24"/>
          <w:szCs w:val="24"/>
        </w:rPr>
        <w:t>, as alterações do Anexo III serão evidenciadas em demonstrativo específico, a ser encaminhado juntamente com a proposta orçamentária para o próximo exercício.</w:t>
      </w:r>
      <w:bookmarkStart w:id="2" w:name="_Toc515609477"/>
      <w:bookmarkStart w:id="3" w:name="_Toc45524646"/>
    </w:p>
    <w:p w14:paraId="3B3B2AB8" w14:textId="77777777" w:rsidR="00F4356D" w:rsidRPr="00F4356D" w:rsidRDefault="00F4356D" w:rsidP="00F4356D">
      <w:pPr>
        <w:spacing w:line="276" w:lineRule="auto"/>
        <w:ind w:right="-710"/>
        <w:jc w:val="center"/>
        <w:rPr>
          <w:rFonts w:ascii="Arial" w:hAnsi="Arial" w:cs="Arial"/>
          <w:b/>
          <w:bCs/>
          <w:sz w:val="24"/>
          <w:szCs w:val="24"/>
        </w:rPr>
      </w:pPr>
      <w:r w:rsidRPr="00F4356D">
        <w:rPr>
          <w:rFonts w:ascii="Arial" w:hAnsi="Arial" w:cs="Arial"/>
          <w:b/>
          <w:bCs/>
          <w:sz w:val="24"/>
          <w:szCs w:val="24"/>
        </w:rPr>
        <w:t>Capítulo III - Da Organização e Estrutura do Orçamento</w:t>
      </w:r>
      <w:bookmarkEnd w:id="2"/>
      <w:bookmarkEnd w:id="3"/>
    </w:p>
    <w:p w14:paraId="67E2A278" w14:textId="77777777" w:rsidR="00F4356D" w:rsidRPr="00F4356D" w:rsidRDefault="00F4356D" w:rsidP="00F4356D">
      <w:pPr>
        <w:spacing w:line="276" w:lineRule="auto"/>
        <w:ind w:right="-710"/>
        <w:jc w:val="center"/>
        <w:rPr>
          <w:rFonts w:ascii="Arial" w:hAnsi="Arial" w:cs="Arial"/>
          <w:b/>
          <w:bCs/>
          <w:sz w:val="24"/>
          <w:szCs w:val="24"/>
        </w:rPr>
      </w:pPr>
    </w:p>
    <w:p w14:paraId="7C7FB653"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4º</w:t>
      </w:r>
      <w:r w:rsidRPr="00F4356D">
        <w:rPr>
          <w:rFonts w:ascii="Arial" w:hAnsi="Arial" w:cs="Arial"/>
          <w:sz w:val="24"/>
          <w:szCs w:val="24"/>
        </w:rPr>
        <w:t xml:space="preserve"> Na lei de orçamento, a despesa será discriminada por órgão, unidade orçamentária, função, subfunção, programa, ação orçamentária e natureza de despesa, detalhada até o nível de elemento.</w:t>
      </w:r>
    </w:p>
    <w:p w14:paraId="4A827B1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O conceito de órgão corresponde ao maior nível da classificação institucional, que tem por finalidade agrupar unidades orçamentárias.</w:t>
      </w:r>
    </w:p>
    <w:p w14:paraId="0AB94C1F"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2º</w:t>
      </w:r>
      <w:r w:rsidRPr="00F4356D">
        <w:rPr>
          <w:rFonts w:ascii="Arial" w:hAnsi="Arial" w:cs="Arial"/>
          <w:sz w:val="24"/>
          <w:szCs w:val="24"/>
        </w:rPr>
        <w:t xml:space="preserve"> O conceito de unidade orçamentária corresponde ao menor nível da classificação institucional e sua classificação atenderá, no que couber, ao disposto no art. 14 da Lei Federal nº 4.320/64. </w:t>
      </w:r>
    </w:p>
    <w:p w14:paraId="01A9F32B"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3º</w:t>
      </w:r>
      <w:r w:rsidRPr="00F4356D">
        <w:rPr>
          <w:rFonts w:ascii="Arial" w:hAnsi="Arial" w:cs="Arial"/>
          <w:sz w:val="24"/>
          <w:szCs w:val="24"/>
        </w:rPr>
        <w:t xml:space="preserve"> Os conceitos de função, subfunção, programa, projeto, atividade e operação especial são aqueles dispostos na Portaria n.º 42 do Ministério do Planejamento, Orçamento e Gestão, de 14 de abril de 1999, e em suas alterações.</w:t>
      </w:r>
    </w:p>
    <w:p w14:paraId="6FE26B0C"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4º</w:t>
      </w:r>
      <w:r w:rsidRPr="00F4356D">
        <w:rPr>
          <w:rFonts w:ascii="Arial" w:hAnsi="Arial" w:cs="Arial"/>
          <w:sz w:val="24"/>
          <w:szCs w:val="24"/>
        </w:rPr>
        <w:t xml:space="preserve"> Os conceitos e códigos de categoria econômica, grupo de natureza de despesa, modalidade de aplicação e elemento de despesa são aqueles dispostos na Lei </w:t>
      </w:r>
      <w:proofErr w:type="gramStart"/>
      <w:r w:rsidRPr="00F4356D">
        <w:rPr>
          <w:rFonts w:ascii="Arial" w:hAnsi="Arial" w:cs="Arial"/>
          <w:sz w:val="24"/>
          <w:szCs w:val="24"/>
        </w:rPr>
        <w:t>Federal  nº</w:t>
      </w:r>
      <w:proofErr w:type="gramEnd"/>
      <w:r w:rsidRPr="00F4356D">
        <w:rPr>
          <w:rFonts w:ascii="Arial" w:hAnsi="Arial" w:cs="Arial"/>
          <w:sz w:val="24"/>
          <w:szCs w:val="24"/>
        </w:rPr>
        <w:t xml:space="preserve"> 4.320/1964 e na Portaria Interministerial da Secretaria do Tesouro Nacional e da Secretaria de Orçamento Federal n.º 163, de 4 de maio de 2001, e em suas alterações.</w:t>
      </w:r>
    </w:p>
    <w:p w14:paraId="5C318E90"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5º</w:t>
      </w:r>
      <w:r w:rsidRPr="00F4356D">
        <w:rPr>
          <w:rFonts w:ascii="Arial" w:hAnsi="Arial" w:cs="Arial"/>
          <w:sz w:val="24"/>
          <w:szCs w:val="24"/>
        </w:rPr>
        <w:t xml:space="preserve"> As operações especiais relacionadas ao pagamento de encargos gerais do Município, serão consignadas em unidade orçamentária específica.</w:t>
      </w:r>
    </w:p>
    <w:p w14:paraId="74372292"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§6º</w:t>
      </w:r>
      <w:r w:rsidRPr="00F4356D">
        <w:rPr>
          <w:rFonts w:ascii="Arial" w:hAnsi="Arial" w:cs="Arial"/>
          <w:sz w:val="24"/>
          <w:szCs w:val="24"/>
        </w:rPr>
        <w:t xml:space="preserve">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14:paraId="02362956"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5º</w:t>
      </w:r>
      <w:r w:rsidRPr="00F4356D">
        <w:rPr>
          <w:rFonts w:ascii="Arial" w:hAnsi="Arial" w:cs="Arial"/>
          <w:sz w:val="24"/>
          <w:szCs w:val="24"/>
        </w:rPr>
        <w:t xml:space="preserve"> Independentemente da natureza de despesa em que for classificado, todo e qualquer crédito orçamentário deve ser consignado diretamente à unidade orçamentária à qual pertencem as ações correspondentes.</w:t>
      </w:r>
    </w:p>
    <w:p w14:paraId="72DC8A1A"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lastRenderedPageBreak/>
        <w:t>Parágrafo único.</w:t>
      </w:r>
      <w:r w:rsidRPr="00F4356D">
        <w:rPr>
          <w:rFonts w:ascii="Arial" w:hAnsi="Arial" w:cs="Arial"/>
          <w:sz w:val="24"/>
          <w:szCs w:val="24"/>
        </w:rPr>
        <w:t xml:space="preserve"> As operações entre órgãos, fundos e entidades previstas nos Orçamentos Fiscal e da Seguridade Social serão executadas obrigatoriamente por meio de empenho, liquidação e pagamento, nos termos da Lei Federal nº 4.320/1964, utilizando-se a modalidade de aplicação 91 – Aplicação Direta Decorrente de Operação entre Órgãos, Fundos e Entidades Integrantes do Orçamento Fiscal e do Orçamento da Seguridade Social.</w:t>
      </w:r>
    </w:p>
    <w:p w14:paraId="11AAFAB1"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6º</w:t>
      </w:r>
      <w:r w:rsidRPr="00F4356D">
        <w:rPr>
          <w:rFonts w:ascii="Arial" w:hAnsi="Arial" w:cs="Arial"/>
          <w:sz w:val="24"/>
          <w:szCs w:val="24"/>
        </w:rPr>
        <w:t xml:space="preserve">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w:t>
      </w:r>
      <w:r w:rsidRPr="00F4356D">
        <w:rPr>
          <w:rFonts w:ascii="Arial" w:hAnsi="Arial" w:cs="Arial"/>
          <w:color w:val="000000"/>
          <w:sz w:val="24"/>
          <w:szCs w:val="24"/>
          <w:shd w:val="clear" w:color="auto" w:fill="FFFFFF"/>
        </w:rPr>
        <w:t xml:space="preserve">de execução orçamentária e financeira a que se refere o </w:t>
      </w:r>
      <w:r w:rsidRPr="00F4356D">
        <w:rPr>
          <w:rFonts w:ascii="Arial" w:hAnsi="Arial" w:cs="Arial"/>
          <w:snapToGrid w:val="0"/>
          <w:sz w:val="24"/>
          <w:szCs w:val="24"/>
        </w:rPr>
        <w:t>art. 48, § 6</w:t>
      </w:r>
      <w:r w:rsidRPr="00F4356D">
        <w:rPr>
          <w:rFonts w:ascii="Arial" w:hAnsi="Arial" w:cs="Arial"/>
          <w:sz w:val="24"/>
          <w:szCs w:val="24"/>
          <w:u w:val="single"/>
          <w:vertAlign w:val="superscript"/>
        </w:rPr>
        <w:t>o</w:t>
      </w:r>
      <w:r w:rsidRPr="00F4356D">
        <w:rPr>
          <w:rFonts w:ascii="Arial" w:hAnsi="Arial" w:cs="Arial"/>
          <w:snapToGrid w:val="0"/>
          <w:sz w:val="24"/>
          <w:szCs w:val="24"/>
        </w:rPr>
        <w:t xml:space="preserve">, da </w:t>
      </w:r>
      <w:r w:rsidRPr="00F4356D">
        <w:rPr>
          <w:rFonts w:ascii="Arial" w:hAnsi="Arial" w:cs="Arial"/>
          <w:sz w:val="24"/>
          <w:szCs w:val="24"/>
        </w:rPr>
        <w:t>Lei Complementar nº 101/2000.</w:t>
      </w:r>
    </w:p>
    <w:p w14:paraId="67600A6D"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7º</w:t>
      </w:r>
      <w:r w:rsidRPr="00F4356D">
        <w:rPr>
          <w:rFonts w:ascii="Arial" w:hAnsi="Arial" w:cs="Arial"/>
          <w:sz w:val="24"/>
          <w:szCs w:val="24"/>
        </w:rPr>
        <w:t xml:space="preserve"> O Projeto de Lei Orçamentária Anual será encaminhado ao Poder Legislativo, conforme estabelecido no § 5º do art. 165 da Constituição Federal, </w:t>
      </w:r>
      <w:r w:rsidRPr="00F4356D">
        <w:rPr>
          <w:rFonts w:ascii="Arial" w:eastAsia="Calibri" w:hAnsi="Arial" w:cs="Arial"/>
          <w:bCs/>
          <w:iCs/>
          <w:sz w:val="24"/>
          <w:szCs w:val="24"/>
          <w:lang w:eastAsia="en-US"/>
        </w:rPr>
        <w:t xml:space="preserve">no § 3º do art. 105 </w:t>
      </w:r>
      <w:r w:rsidRPr="00F4356D">
        <w:rPr>
          <w:rFonts w:ascii="Arial" w:hAnsi="Arial" w:cs="Arial"/>
          <w:sz w:val="24"/>
          <w:szCs w:val="24"/>
        </w:rPr>
        <w:t>da Lei Orgânica do Município e no art. 2º, da Lei Federal nº 4.320/1964.</w:t>
      </w:r>
    </w:p>
    <w:p w14:paraId="6A7CE54A" w14:textId="77777777" w:rsidR="00F4356D" w:rsidRPr="00F4356D" w:rsidRDefault="00F4356D" w:rsidP="00F4356D">
      <w:pPr>
        <w:spacing w:after="160" w:line="276" w:lineRule="auto"/>
        <w:ind w:right="-710"/>
        <w:jc w:val="both"/>
        <w:rPr>
          <w:rFonts w:ascii="Arial" w:hAnsi="Arial" w:cs="Arial"/>
          <w:sz w:val="24"/>
          <w:szCs w:val="24"/>
        </w:rPr>
      </w:pPr>
      <w:r w:rsidRPr="00F4356D">
        <w:rPr>
          <w:rFonts w:ascii="Arial" w:hAnsi="Arial" w:cs="Arial"/>
          <w:sz w:val="24"/>
          <w:szCs w:val="24"/>
        </w:rPr>
        <w:t xml:space="preserve">Parágrafo único. Integrarão a Proposta Orçamentária e a respectiva Lei Orçamentária, além dos quadros exigidos pela legislação federal: </w:t>
      </w:r>
    </w:p>
    <w:p w14:paraId="54754516"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 - discriminação da legislação básica da receita e da despesa dos orçamentos fiscal e da seguridade social;</w:t>
      </w:r>
    </w:p>
    <w:p w14:paraId="31E84AD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 – demonstrativo da evolução da receita, por origem, em atendimento ao disposto no art. 12 da Lei Complementar nº 101/2000;</w:t>
      </w:r>
    </w:p>
    <w:p w14:paraId="378BD886"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III – demonstrativo da estimativa e compensação da renúncia de receita e da margem de expansão das despesas obrigatórias de caráter continuado, de acordo com o art. 5º, inciso II, da Lei Complementar nº 101/2000;</w:t>
      </w:r>
    </w:p>
    <w:p w14:paraId="0AFE4BEC"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IV – quadro que evidencie, em colunas distintas, as receitas por origem e as despesas por grupo de natureza de despesa, dos orçamentos fiscal e da seguridade social, conforme art. 165, § 5º, III, da Constituição Federal;</w:t>
      </w:r>
    </w:p>
    <w:p w14:paraId="58B35BE6"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 xml:space="preserve">V - demonstrativo da receita por origem e planos de aplicação das despesas dos Fundos Especiais de que trata o art. 2º, § 2º, </w:t>
      </w:r>
      <w:proofErr w:type="gramStart"/>
      <w:r w:rsidRPr="00F4356D">
        <w:rPr>
          <w:rFonts w:ascii="Arial" w:hAnsi="Arial" w:cs="Arial"/>
          <w:sz w:val="24"/>
          <w:szCs w:val="24"/>
        </w:rPr>
        <w:t>I,  da</w:t>
      </w:r>
      <w:proofErr w:type="gramEnd"/>
      <w:r w:rsidRPr="00F4356D">
        <w:rPr>
          <w:rFonts w:ascii="Arial" w:hAnsi="Arial" w:cs="Arial"/>
          <w:sz w:val="24"/>
          <w:szCs w:val="24"/>
        </w:rPr>
        <w:t xml:space="preserve"> Lei Federal nº 4.320/1964;</w:t>
      </w:r>
    </w:p>
    <w:p w14:paraId="73D9651D"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VI – demonstrativo de compatibilidade da programação do orçamento com a meta de resultado primário, observando-se, no que couber, ao disposto nos §§ 1º e 2º do art. 2º desta Lei;</w:t>
      </w:r>
    </w:p>
    <w:p w14:paraId="7608EC36"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VII - demonstrativo da fixação da despesa com pessoal e encargos sociais, para os Poderes Executivo e Legislativo, confrontando a sua totalização com a receita corrente líquida prevista, conforme metodologia de cálculo prevista na Instrução Normativa nº 04/2021, do Tribunal de Contas do Estado ou da norma que lhe for superveniente;</w:t>
      </w:r>
    </w:p>
    <w:p w14:paraId="4F5ADC5C" w14:textId="77777777" w:rsidR="00F4356D" w:rsidRPr="00F4356D" w:rsidRDefault="00F4356D" w:rsidP="00F4356D">
      <w:pPr>
        <w:spacing w:after="160" w:line="276" w:lineRule="auto"/>
        <w:ind w:right="-710" w:firstLine="708"/>
        <w:jc w:val="both"/>
        <w:rPr>
          <w:rFonts w:ascii="Arial" w:hAnsi="Arial" w:cs="Arial"/>
          <w:color w:val="FF0000"/>
          <w:sz w:val="24"/>
          <w:szCs w:val="24"/>
        </w:rPr>
      </w:pPr>
      <w:r w:rsidRPr="00F4356D">
        <w:rPr>
          <w:rFonts w:ascii="Arial" w:hAnsi="Arial" w:cs="Arial"/>
          <w:sz w:val="24"/>
          <w:szCs w:val="24"/>
        </w:rPr>
        <w:t xml:space="preserve">VIII - demonstrativo da previsão das aplicações de recursos na Manutenção e Desenvolvimento do Ensino, nos termos da Lei Federal nº 9.394/1996, inclusive os </w:t>
      </w:r>
      <w:r w:rsidRPr="00F4356D">
        <w:rPr>
          <w:rFonts w:ascii="Arial" w:hAnsi="Arial" w:cs="Arial"/>
          <w:sz w:val="24"/>
          <w:szCs w:val="24"/>
        </w:rPr>
        <w:lastRenderedPageBreak/>
        <w:t xml:space="preserve">recursos do Fundo de Manutenção e Desenvolvimento da Educação Básica e de Valorização dos Profissionais da Educação (Fundeb) de que trata a Lei Federal nº 14.113/2020; </w:t>
      </w:r>
    </w:p>
    <w:p w14:paraId="6BC4A24A"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 xml:space="preserve">IX - demonstrativo da previsão da aplicação anual do Município em Ações e Serviços Públicos de Saúde, nos termos da Lei Complementar nº 141/2012; </w:t>
      </w:r>
    </w:p>
    <w:p w14:paraId="7192EE2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X - demonstrativo dos instrumentos de programação a serem financiados com recursos de operações de crédito realizadas e a realizar;</w:t>
      </w:r>
    </w:p>
    <w:p w14:paraId="2CC78FB6"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XI - demonstrativo do cálculo do limite máximo da despesa do Poder Legislativo, conforme o artigo 29-A da Constituição Federal, observado o disposto no § 2º do art. 13 desta Lei.</w:t>
      </w:r>
    </w:p>
    <w:p w14:paraId="7EE0F37C"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8º</w:t>
      </w:r>
      <w:r w:rsidRPr="00F4356D">
        <w:rPr>
          <w:rFonts w:ascii="Arial" w:hAnsi="Arial" w:cs="Arial"/>
          <w:sz w:val="24"/>
          <w:szCs w:val="24"/>
        </w:rPr>
        <w:t xml:space="preserve"> A mensagem que encaminhar o projeto de lei orçamentária anual conterá:</w:t>
      </w:r>
    </w:p>
    <w:p w14:paraId="16E9C8FF"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 - relato sucinto da situação econômica e financeira do Município e projeções para o exercício de 2022, com destaque, se for o caso, para o comprometimento da receita corrente líquida com o pagamento da dívida;</w:t>
      </w:r>
    </w:p>
    <w:p w14:paraId="21D09650"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 - resumo da política econômica e social do Governo;</w:t>
      </w:r>
    </w:p>
    <w:p w14:paraId="5A232CF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III – memória de cálculo e justificativa da estimativa da receita e da fixação da despesa, observando-se, no que couber, ao disposto nos arts. 22, I, 39 e 30 da Lei Federal nº 4.320/1964 e no art. 12 da Lei Complementar nº 101/2000.</w:t>
      </w:r>
    </w:p>
    <w:p w14:paraId="1280D886"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IV - demonstrativo da dívida fundada, assim como da evolução do seu estoque nos últimos três anos, a situação provável no final de 2021 e a previsão para o exercício de 2022;</w:t>
      </w:r>
    </w:p>
    <w:p w14:paraId="73FF4985"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V - relação dos precatórios a serem cumpridos em 2022 com as dotações para tal fim constantes na proposta orçamentária;</w:t>
      </w:r>
    </w:p>
    <w:p w14:paraId="23B4600A"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14:paraId="59D528B0"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9º</w:t>
      </w:r>
      <w:r w:rsidRPr="00F4356D">
        <w:rPr>
          <w:rFonts w:ascii="Arial" w:hAnsi="Arial" w:cs="Arial"/>
          <w:sz w:val="24"/>
          <w:szCs w:val="24"/>
        </w:rPr>
        <w:t>. Deverão ser discriminadas em ações orçamentárias específicas as dotações destinadas:</w:t>
      </w:r>
    </w:p>
    <w:p w14:paraId="6186C59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 - às ações de alimentação escolar;</w:t>
      </w:r>
    </w:p>
    <w:p w14:paraId="0A575A5F"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 - às ações de transporte escolar;</w:t>
      </w:r>
    </w:p>
    <w:p w14:paraId="5432B58B"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III - à concessão de subvenções econômicas e subsídios a pessoas físicas e jurídicas com finalidade lucrativa;</w:t>
      </w:r>
    </w:p>
    <w:p w14:paraId="386B76D4"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IV – à concessão de subvenções sociais, contribuições correntes, contribuições de capital e auxílios a entidades privadas sem fins lucrativos;</w:t>
      </w:r>
    </w:p>
    <w:p w14:paraId="0DBA7AFC"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lastRenderedPageBreak/>
        <w:t>V – à transferência de recursos para Consórcios Públicos em decorrência de contrato de rateio;</w:t>
      </w:r>
    </w:p>
    <w:p w14:paraId="460CD27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VI - ao pagamento de sentenças;</w:t>
      </w:r>
    </w:p>
    <w:p w14:paraId="74F2EC8E"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VII - às despesas com publicidade institucional;</w:t>
      </w:r>
    </w:p>
    <w:p w14:paraId="2669EECF"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VIII – às despesas com amortização, juros e encargos da dívida pública;</w:t>
      </w:r>
    </w:p>
    <w:p w14:paraId="48FB525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IX - ao pagamento de benefícios do Regime Próprio de Previdência Social;</w:t>
      </w:r>
    </w:p>
    <w:p w14:paraId="6C92B6F5"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 xml:space="preserve">X – ao custeio, pelo Município, de despesas de competência de outros entes da Federação, observado o disposto no art.  62 desta Lei. </w:t>
      </w:r>
    </w:p>
    <w:p w14:paraId="5381CFA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Art.10</w:t>
      </w:r>
      <w:r w:rsidRPr="00F4356D">
        <w:rPr>
          <w:rFonts w:ascii="Arial" w:hAnsi="Arial" w:cs="Arial"/>
          <w:sz w:val="24"/>
          <w:szCs w:val="24"/>
        </w:rPr>
        <w:t>. A Reserva de Contingência para fins de atendimento dos</w:t>
      </w:r>
      <w:r w:rsidRPr="00F4356D">
        <w:rPr>
          <w:rFonts w:ascii="Arial" w:hAnsi="Arial" w:cs="Arial"/>
          <w:snapToGrid w:val="0"/>
          <w:sz w:val="24"/>
          <w:szCs w:val="24"/>
        </w:rPr>
        <w:t xml:space="preserve"> riscos fiscais especificados no Anexo II desta Lei </w:t>
      </w:r>
      <w:r w:rsidRPr="00F4356D">
        <w:rPr>
          <w:rFonts w:ascii="Arial" w:hAnsi="Arial" w:cs="Arial"/>
          <w:sz w:val="24"/>
          <w:szCs w:val="24"/>
        </w:rPr>
        <w:t>será constituída com recursos não vinculados, e será fixada em, no mínimo, 1% (um por cento) da receita corrente líquida.</w:t>
      </w:r>
    </w:p>
    <w:p w14:paraId="36086D92"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Para fins de utilização dos recursos a que se refere o </w:t>
      </w:r>
      <w:r w:rsidRPr="00F4356D">
        <w:rPr>
          <w:rFonts w:ascii="Arial" w:hAnsi="Arial" w:cs="Arial"/>
          <w:bCs/>
          <w:sz w:val="24"/>
          <w:szCs w:val="24"/>
        </w:rPr>
        <w:t>caput</w:t>
      </w:r>
      <w:r w:rsidRPr="00F4356D">
        <w:rPr>
          <w:rFonts w:ascii="Arial" w:hAnsi="Arial" w:cs="Arial"/>
          <w:sz w:val="24"/>
          <w:szCs w:val="24"/>
        </w:rPr>
        <w:t xml:space="preserve">, considera-se como evento fiscal imprevisto, a que se refere a alínea “b” do inciso III do </w:t>
      </w:r>
      <w:r w:rsidRPr="00F4356D">
        <w:rPr>
          <w:rFonts w:ascii="Arial" w:hAnsi="Arial" w:cs="Arial"/>
          <w:bCs/>
          <w:sz w:val="24"/>
          <w:szCs w:val="24"/>
        </w:rPr>
        <w:t xml:space="preserve">caput </w:t>
      </w:r>
      <w:r w:rsidRPr="00F4356D">
        <w:rPr>
          <w:rFonts w:ascii="Arial" w:hAnsi="Arial" w:cs="Arial"/>
          <w:sz w:val="24"/>
          <w:szCs w:val="24"/>
        </w:rPr>
        <w:t>do art. 5º da Lei Complementar nº 101/2000, a abertura de créditos adicionais para o atendimento de despesas não previstas ou insuficientemente dotadas na Lei Orçamentária.</w:t>
      </w:r>
    </w:p>
    <w:p w14:paraId="7C605872" w14:textId="77777777" w:rsidR="00F4356D" w:rsidRPr="00F4356D" w:rsidRDefault="00F4356D" w:rsidP="00F4356D">
      <w:pPr>
        <w:spacing w:after="160" w:line="276" w:lineRule="auto"/>
        <w:ind w:right="-710" w:firstLine="708"/>
        <w:jc w:val="both"/>
        <w:rPr>
          <w:rFonts w:ascii="Arial" w:hAnsi="Arial" w:cs="Arial"/>
          <w:color w:val="FF0000"/>
          <w:sz w:val="24"/>
          <w:szCs w:val="24"/>
        </w:rPr>
      </w:pPr>
      <w:r w:rsidRPr="00F4356D">
        <w:rPr>
          <w:rFonts w:ascii="Arial" w:hAnsi="Arial" w:cs="Arial"/>
          <w:b/>
          <w:bCs/>
          <w:sz w:val="24"/>
          <w:szCs w:val="24"/>
        </w:rPr>
        <w:t>§ 2º</w:t>
      </w:r>
      <w:r w:rsidRPr="00F4356D">
        <w:rPr>
          <w:rFonts w:ascii="Arial" w:hAnsi="Arial" w:cs="Arial"/>
          <w:sz w:val="24"/>
          <w:szCs w:val="24"/>
        </w:rPr>
        <w:t xml:space="preserve"> Além da Reserva de Contingência referida no caput, o Projeto de Lei Orçamentária conterá reservas para o atendimento de programações decorrentes de emendas parlamentares que forem aprovadas nos termos dos arts. 33 a 37 desta Lei.</w:t>
      </w:r>
      <w:bookmarkStart w:id="4" w:name="_Toc515609478"/>
      <w:bookmarkStart w:id="5" w:name="_Toc45524647"/>
    </w:p>
    <w:p w14:paraId="172E0886" w14:textId="77777777" w:rsidR="00F4356D" w:rsidRPr="00F4356D" w:rsidRDefault="00F4356D" w:rsidP="00F4356D">
      <w:pPr>
        <w:spacing w:line="276" w:lineRule="auto"/>
        <w:ind w:right="-710"/>
        <w:jc w:val="center"/>
        <w:rPr>
          <w:rFonts w:ascii="Arial" w:hAnsi="Arial" w:cs="Arial"/>
          <w:b/>
          <w:bCs/>
          <w:sz w:val="24"/>
          <w:szCs w:val="24"/>
        </w:rPr>
      </w:pPr>
      <w:r w:rsidRPr="00F4356D">
        <w:rPr>
          <w:rFonts w:ascii="Arial" w:hAnsi="Arial" w:cs="Arial"/>
          <w:b/>
          <w:bCs/>
          <w:sz w:val="24"/>
          <w:szCs w:val="24"/>
        </w:rPr>
        <w:t>Capítulo IV - Das Diretrizes para Elaboração e Execução do Orçamento e suas Alterações</w:t>
      </w:r>
      <w:bookmarkEnd w:id="4"/>
      <w:bookmarkEnd w:id="5"/>
    </w:p>
    <w:p w14:paraId="5C09C0F0" w14:textId="77777777" w:rsidR="00F4356D" w:rsidRPr="00F4356D" w:rsidRDefault="00F4356D" w:rsidP="00F4356D">
      <w:pPr>
        <w:spacing w:line="276" w:lineRule="auto"/>
        <w:ind w:right="-710"/>
        <w:jc w:val="center"/>
        <w:rPr>
          <w:rFonts w:ascii="Arial" w:hAnsi="Arial" w:cs="Arial"/>
          <w:b/>
          <w:bCs/>
          <w:sz w:val="24"/>
          <w:szCs w:val="24"/>
        </w:rPr>
      </w:pPr>
      <w:bookmarkStart w:id="6" w:name="_Toc515609479"/>
      <w:bookmarkStart w:id="7" w:name="_Toc45524648"/>
      <w:r w:rsidRPr="00F4356D">
        <w:rPr>
          <w:rFonts w:ascii="Arial" w:hAnsi="Arial" w:cs="Arial"/>
          <w:b/>
          <w:bCs/>
          <w:sz w:val="24"/>
          <w:szCs w:val="24"/>
        </w:rPr>
        <w:t>Seção I - Das Diretrizes Gerais</w:t>
      </w:r>
      <w:bookmarkEnd w:id="6"/>
      <w:bookmarkEnd w:id="7"/>
    </w:p>
    <w:p w14:paraId="7D3BA33B" w14:textId="77777777" w:rsidR="00F4356D" w:rsidRPr="00F4356D" w:rsidRDefault="00F4356D" w:rsidP="00F4356D">
      <w:pPr>
        <w:spacing w:line="276" w:lineRule="auto"/>
        <w:ind w:right="-710"/>
        <w:jc w:val="center"/>
        <w:rPr>
          <w:rFonts w:ascii="Arial" w:hAnsi="Arial" w:cs="Arial"/>
          <w:b/>
          <w:bCs/>
          <w:sz w:val="24"/>
          <w:szCs w:val="24"/>
        </w:rPr>
      </w:pPr>
    </w:p>
    <w:p w14:paraId="73F20BC9" w14:textId="77777777" w:rsidR="00F4356D" w:rsidRPr="00F4356D" w:rsidRDefault="00F4356D" w:rsidP="00F4356D">
      <w:pPr>
        <w:spacing w:after="160" w:line="276" w:lineRule="auto"/>
        <w:ind w:right="-710" w:firstLine="708"/>
        <w:jc w:val="both"/>
        <w:rPr>
          <w:rFonts w:ascii="Arial" w:hAnsi="Arial" w:cs="Arial"/>
          <w:b/>
          <w:sz w:val="24"/>
          <w:szCs w:val="24"/>
        </w:rPr>
      </w:pPr>
      <w:r w:rsidRPr="00F4356D">
        <w:rPr>
          <w:rFonts w:ascii="Arial" w:hAnsi="Arial" w:cs="Arial"/>
          <w:b/>
          <w:bCs/>
          <w:sz w:val="24"/>
          <w:szCs w:val="24"/>
        </w:rPr>
        <w:t>Art. 11</w:t>
      </w:r>
      <w:r w:rsidRPr="00F4356D">
        <w:rPr>
          <w:rFonts w:ascii="Arial" w:hAnsi="Arial" w:cs="Arial"/>
          <w:sz w:val="24"/>
          <w:szCs w:val="24"/>
        </w:rPr>
        <w:t xml:space="preserve">. Os órgãos da Administração Indireta e o Poder Legislativo encaminharão à Secretaria de Administração e Planejamento, </w:t>
      </w:r>
      <w:r w:rsidRPr="00F4356D">
        <w:rPr>
          <w:rFonts w:ascii="Arial" w:hAnsi="Arial" w:cs="Arial"/>
          <w:b/>
          <w:sz w:val="24"/>
          <w:szCs w:val="24"/>
        </w:rPr>
        <w:t>até 30 de novembro de 2021</w:t>
      </w:r>
      <w:r w:rsidRPr="00F4356D">
        <w:rPr>
          <w:rFonts w:ascii="Arial" w:hAnsi="Arial" w:cs="Arial"/>
          <w:sz w:val="24"/>
          <w:szCs w:val="24"/>
        </w:rPr>
        <w:t xml:space="preserve">, suas respectivas propostas orçamentárias, para fins de consolidação do Projeto de Lei Orçamentária, observadas as disposições desta Lei. </w:t>
      </w:r>
    </w:p>
    <w:p w14:paraId="27BB19E1"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Parágrafo único</w:t>
      </w:r>
      <w:r w:rsidRPr="00F4356D">
        <w:rPr>
          <w:rFonts w:ascii="Arial" w:hAnsi="Arial" w:cs="Arial"/>
          <w:sz w:val="24"/>
          <w:szCs w:val="24"/>
        </w:rPr>
        <w:t>. O prazo estabelecido no caput também se aplica ao respectivo conselho, em relação às deliberações que, por força de norma legal, devem efetuar em relação às propostas de aplicação dos recursos vinculados:</w:t>
      </w:r>
    </w:p>
    <w:p w14:paraId="4FDC89F4"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 - ao Fundo Municipal de Saúde - FMS;</w:t>
      </w:r>
    </w:p>
    <w:p w14:paraId="5AA53ED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 – ao Fundo Municipal de Assistência Social - FMAS;</w:t>
      </w:r>
    </w:p>
    <w:p w14:paraId="106898D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III – ao fundo Municipal dos direitos da Criança e do Adolescente - FMDCA;</w:t>
      </w:r>
    </w:p>
    <w:p w14:paraId="17BC6F0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IV – ao Fundo Municipal do Idoso – FM Idoso;</w:t>
      </w:r>
    </w:p>
    <w:p w14:paraId="32FC7A92"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 xml:space="preserve">V – ao </w:t>
      </w:r>
      <w:r w:rsidRPr="00F4356D">
        <w:rPr>
          <w:rFonts w:ascii="Arial" w:hAnsi="Arial" w:cs="Arial"/>
          <w:sz w:val="24"/>
          <w:szCs w:val="24"/>
          <w:shd w:val="clear" w:color="auto" w:fill="FFFFFF"/>
        </w:rPr>
        <w:t>Fundo de Manutenção e Desenvolvimento da Educação Básica e de Valorização dos Profissionais da Educação (Fundeb); e</w:t>
      </w:r>
    </w:p>
    <w:p w14:paraId="1AF705C3"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lastRenderedPageBreak/>
        <w:t>VI – ao Regime Próprio de Previdência Social;</w:t>
      </w:r>
    </w:p>
    <w:p w14:paraId="11A4D1B3"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12</w:t>
      </w:r>
      <w:r w:rsidRPr="00F4356D">
        <w:rPr>
          <w:rFonts w:ascii="Arial" w:hAnsi="Arial" w:cs="Arial"/>
          <w:sz w:val="24"/>
          <w:szCs w:val="24"/>
        </w:rPr>
        <w:t>. A elaboração, a aprovação e execução do orçamento obedecerão, entre outros, ao princípio da publicidade, promovendo-se a transparência da gestão fiscal e permitindo-se o amplo acesso da sociedade a todas as informações relativas a cada uma dessas etapas.</w:t>
      </w:r>
    </w:p>
    <w:p w14:paraId="7B0D7AEB"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Para fins de atendimento ao disposto no art. 48, § 1º, I, da Lei Complementar nº 101/2000, o Poder Executivo organizará audiência(s) pública(s) a fim de assegurar aos cidadãos a participação na seleção das prioridades de investimentos, que terão recursos consignados no orçamento.</w:t>
      </w:r>
    </w:p>
    <w:p w14:paraId="4F3180BB"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2º</w:t>
      </w:r>
      <w:r w:rsidRPr="00F4356D">
        <w:rPr>
          <w:rFonts w:ascii="Arial" w:hAnsi="Arial" w:cs="Arial"/>
          <w:sz w:val="24"/>
          <w:szCs w:val="24"/>
        </w:rPr>
        <w:t xml:space="preserve"> A Câmara Municipal organizará audiência(s) pública(s) para discussão da proposta orçamentária durante o processo de sua apreciação e aprovação.</w:t>
      </w:r>
    </w:p>
    <w:p w14:paraId="39246D6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3º</w:t>
      </w:r>
      <w:r w:rsidRPr="00F4356D">
        <w:rPr>
          <w:rFonts w:ascii="Arial" w:hAnsi="Arial" w:cs="Arial"/>
          <w:sz w:val="24"/>
          <w:szCs w:val="24"/>
        </w:rPr>
        <w:t xml:space="preserve"> </w:t>
      </w:r>
      <w:r w:rsidRPr="00F4356D">
        <w:rPr>
          <w:rFonts w:ascii="Arial" w:hAnsi="Arial" w:cs="Arial"/>
          <w:sz w:val="24"/>
          <w:szCs w:val="24"/>
          <w:shd w:val="clear" w:color="auto" w:fill="FFFFFF"/>
        </w:rPr>
        <w:t xml:space="preserve">Durante a vigência de medidas restritivas à circulação e reunião de pessoas em decorrência de Emergência em Saúde Pública, as audiências públicas de que trata este artigo serão realizadas </w:t>
      </w:r>
      <w:r w:rsidRPr="00F4356D">
        <w:rPr>
          <w:rFonts w:ascii="Arial" w:hAnsi="Arial" w:cs="Arial"/>
          <w:sz w:val="24"/>
          <w:szCs w:val="24"/>
        </w:rPr>
        <w:t>de forma virtual, mediante o uso de tecnologias que permitam a participação de qualquer interessado.</w:t>
      </w:r>
    </w:p>
    <w:p w14:paraId="45862910"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13</w:t>
      </w:r>
      <w:r w:rsidRPr="00F4356D">
        <w:rPr>
          <w:rFonts w:ascii="Arial" w:hAnsi="Arial" w:cs="Arial"/>
          <w:sz w:val="24"/>
          <w:szCs w:val="24"/>
        </w:rPr>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2022. </w:t>
      </w:r>
    </w:p>
    <w:p w14:paraId="46E2356F"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14:paraId="6F28CF5E"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xml:space="preserve">§ 2º </w:t>
      </w:r>
      <w:r w:rsidRPr="00F4356D">
        <w:rPr>
          <w:rFonts w:ascii="Arial" w:hAnsi="Arial" w:cs="Arial"/>
          <w:sz w:val="24"/>
          <w:szCs w:val="24"/>
        </w:rPr>
        <w:t>Para fins da fixação da despesa orçamentária da Câmara Municipal, observado os limites estabelecidos no art. 29-A da Constituição Federal e a metodologia de cálculo estabelecida pela Instrução Normativa nº 04/2021 do Tribunal de Contas do Estado ou da norma que lhe for superveniente, considerar-se-á a receita arrecadada até mês de outubro, acrescida da tendência de arrecadação até o final do exercício.</w:t>
      </w:r>
    </w:p>
    <w:p w14:paraId="0BA84682"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14</w:t>
      </w:r>
      <w:r w:rsidRPr="00F4356D">
        <w:rPr>
          <w:rFonts w:ascii="Arial" w:hAnsi="Arial" w:cs="Arial"/>
          <w:sz w:val="24"/>
          <w:szCs w:val="24"/>
        </w:rPr>
        <w:t>. Observado o disposto no art. 45 da Lei Complementar nº 101/2000, somente serão destinadas dotações para novos projetos para investimentos se:</w:t>
      </w:r>
    </w:p>
    <w:p w14:paraId="51A5985B" w14:textId="77777777" w:rsidR="00F4356D" w:rsidRPr="00F4356D" w:rsidRDefault="00F4356D" w:rsidP="00F4356D">
      <w:pPr>
        <w:spacing w:after="160" w:line="276" w:lineRule="auto"/>
        <w:ind w:right="-710"/>
        <w:jc w:val="both"/>
        <w:rPr>
          <w:rFonts w:ascii="Arial" w:hAnsi="Arial" w:cs="Arial"/>
          <w:sz w:val="24"/>
          <w:szCs w:val="24"/>
        </w:rPr>
      </w:pPr>
      <w:r w:rsidRPr="00F4356D">
        <w:rPr>
          <w:rFonts w:ascii="Arial" w:hAnsi="Arial" w:cs="Arial"/>
          <w:sz w:val="24"/>
          <w:szCs w:val="24"/>
        </w:rPr>
        <w:t>I - a ação estiver compatível com o Plano Plurianual.</w:t>
      </w:r>
    </w:p>
    <w:p w14:paraId="58D2BE90"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Parágrafo único</w:t>
      </w:r>
      <w:r w:rsidRPr="00F4356D">
        <w:rPr>
          <w:rFonts w:ascii="Arial" w:hAnsi="Arial" w:cs="Arial"/>
          <w:sz w:val="24"/>
          <w:szCs w:val="24"/>
        </w:rPr>
        <w:t>. O disposto neste artigo não se aplica ao início ou continuidade de investimentos programados com recursos oriundos de transferências voluntárias, de operações de crédito ou de alienação de bens, cuja execução fica limitada à respectiva disponibilidade orçamentária e financeira.</w:t>
      </w:r>
    </w:p>
    <w:p w14:paraId="27E57C8C"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15</w:t>
      </w:r>
      <w:r w:rsidRPr="00F4356D">
        <w:rPr>
          <w:rFonts w:ascii="Arial" w:hAnsi="Arial" w:cs="Arial"/>
          <w:sz w:val="24"/>
          <w:szCs w:val="24"/>
        </w:rPr>
        <w:t xml:space="preserve">. Os procedimentos administrativos de estimativa do impacto orçamentário-financeiro e declaração do ordenador da despesa de que trata o art. 16, </w:t>
      </w:r>
      <w:r w:rsidRPr="00F4356D">
        <w:rPr>
          <w:rFonts w:ascii="Arial" w:hAnsi="Arial" w:cs="Arial"/>
          <w:sz w:val="24"/>
          <w:szCs w:val="24"/>
        </w:rPr>
        <w:lastRenderedPageBreak/>
        <w:t xml:space="preserve">I e II, da Lei </w:t>
      </w:r>
      <w:proofErr w:type="gramStart"/>
      <w:r w:rsidRPr="00F4356D">
        <w:rPr>
          <w:rFonts w:ascii="Arial" w:hAnsi="Arial" w:cs="Arial"/>
          <w:sz w:val="24"/>
          <w:szCs w:val="24"/>
        </w:rPr>
        <w:t>Complementar  nº</w:t>
      </w:r>
      <w:proofErr w:type="gramEnd"/>
      <w:r w:rsidRPr="00F4356D">
        <w:rPr>
          <w:rFonts w:ascii="Arial" w:hAnsi="Arial" w:cs="Arial"/>
          <w:sz w:val="24"/>
          <w:szCs w:val="24"/>
        </w:rPr>
        <w:t xml:space="preserve"> 101/2000, quando forem exigíveis, deverão ser inseridos no processo que abriga os autos da licitação ou de sua dispensa/inexigibilidade.</w:t>
      </w:r>
    </w:p>
    <w:p w14:paraId="29E7BF5B"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Para efeito do disposto no art. 16, § 3º, da Lei Complementar nº 101/2000, entendem-se como despesas irrelevantes </w:t>
      </w:r>
      <w:proofErr w:type="gramStart"/>
      <w:r w:rsidRPr="00F4356D">
        <w:rPr>
          <w:rFonts w:ascii="Arial" w:hAnsi="Arial" w:cs="Arial"/>
          <w:sz w:val="24"/>
          <w:szCs w:val="24"/>
        </w:rPr>
        <w:t>aquelas  cujo</w:t>
      </w:r>
      <w:proofErr w:type="gramEnd"/>
      <w:r w:rsidRPr="00F4356D">
        <w:rPr>
          <w:rFonts w:ascii="Arial" w:hAnsi="Arial" w:cs="Arial"/>
          <w:sz w:val="24"/>
          <w:szCs w:val="24"/>
        </w:rPr>
        <w:t xml:space="preserve"> valor no exercício financeiro de 2022, em cada evento de contratação, não ultrapasse os limites previstos nos incisos I e II do caput do art. 24 da Lei Federal nº 8.666/1993.</w:t>
      </w:r>
    </w:p>
    <w:p w14:paraId="3AA4DE40"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2º</w:t>
      </w:r>
      <w:r w:rsidRPr="00F4356D">
        <w:rPr>
          <w:rFonts w:ascii="Arial" w:hAnsi="Arial" w:cs="Arial"/>
          <w:sz w:val="24"/>
          <w:szCs w:val="24"/>
        </w:rPr>
        <w:t xml:space="preserve"> No caso de despesas com pessoal e respectivos encargos, desde que não configurem geração de despesa obrigatória de caráter continuado, serão consideradas irrelevantes aquelas cujo montante, em cada evento, não exceda a 20 vezes o menor padrão de vencimentos.</w:t>
      </w:r>
    </w:p>
    <w:p w14:paraId="61EF0F12" w14:textId="77777777" w:rsidR="00F4356D" w:rsidRPr="00F4356D" w:rsidRDefault="00F4356D" w:rsidP="00F4356D">
      <w:pPr>
        <w:spacing w:line="276" w:lineRule="auto"/>
        <w:ind w:right="-710" w:firstLine="708"/>
        <w:jc w:val="both"/>
        <w:rPr>
          <w:rFonts w:ascii="Arial" w:hAnsi="Arial" w:cs="Arial"/>
          <w:color w:val="000000"/>
          <w:sz w:val="24"/>
          <w:szCs w:val="24"/>
          <w:shd w:val="clear" w:color="auto" w:fill="FFFFFF"/>
        </w:rPr>
      </w:pPr>
      <w:r w:rsidRPr="00F4356D">
        <w:rPr>
          <w:rFonts w:ascii="Arial" w:hAnsi="Arial" w:cs="Arial"/>
          <w:b/>
          <w:bCs/>
          <w:sz w:val="24"/>
          <w:szCs w:val="24"/>
        </w:rPr>
        <w:t>Art. 16</w:t>
      </w:r>
      <w:r w:rsidRPr="00F4356D">
        <w:rPr>
          <w:rFonts w:ascii="Arial" w:hAnsi="Arial" w:cs="Arial"/>
          <w:sz w:val="24"/>
          <w:szCs w:val="24"/>
        </w:rPr>
        <w:t>. Deverão ser observados os seguintes requisitos, no caso de aumento de despesas decorrentes</w:t>
      </w:r>
      <w:r w:rsidRPr="00F4356D">
        <w:rPr>
          <w:rFonts w:ascii="Arial" w:hAnsi="Arial" w:cs="Arial"/>
          <w:color w:val="000000"/>
          <w:sz w:val="24"/>
          <w:szCs w:val="24"/>
          <w:shd w:val="clear" w:color="auto" w:fill="FFFFFF"/>
        </w:rPr>
        <w:t xml:space="preserve"> da criação, expansão ou aperfeiçoamento de ação governamental:</w:t>
      </w:r>
    </w:p>
    <w:p w14:paraId="2B220CDE" w14:textId="77777777" w:rsidR="00F4356D" w:rsidRPr="00F4356D" w:rsidRDefault="00F4356D" w:rsidP="00F4356D">
      <w:pPr>
        <w:autoSpaceDE w:val="0"/>
        <w:autoSpaceDN w:val="0"/>
        <w:adjustRightInd w:val="0"/>
        <w:spacing w:line="276" w:lineRule="auto"/>
        <w:ind w:right="-710"/>
        <w:jc w:val="both"/>
        <w:rPr>
          <w:rFonts w:ascii="Arial" w:hAnsi="Arial" w:cs="Arial"/>
          <w:sz w:val="24"/>
          <w:szCs w:val="24"/>
        </w:rPr>
      </w:pPr>
      <w:r w:rsidRPr="00F4356D">
        <w:rPr>
          <w:rFonts w:ascii="Arial" w:hAnsi="Arial" w:cs="Arial"/>
          <w:sz w:val="24"/>
          <w:szCs w:val="24"/>
        </w:rPr>
        <w:t xml:space="preserve"> </w:t>
      </w:r>
      <w:r w:rsidRPr="00F4356D">
        <w:rPr>
          <w:rFonts w:ascii="Arial" w:hAnsi="Arial" w:cs="Arial"/>
          <w:sz w:val="24"/>
          <w:szCs w:val="24"/>
        </w:rPr>
        <w:tab/>
        <w:t>I - se for obrigatória de caráter continuado, cumprir os requisitos previstos no art. 16 da Lei Complementar nº 101/2000 e estar acompanhada de medidas de compensação, no exercício em que entre em vigor e nos dois exercícios subsequentes, por meio de:</w:t>
      </w:r>
    </w:p>
    <w:p w14:paraId="545466A1" w14:textId="77777777" w:rsidR="00F4356D" w:rsidRPr="00F4356D" w:rsidRDefault="00F4356D" w:rsidP="00F4356D">
      <w:pPr>
        <w:autoSpaceDE w:val="0"/>
        <w:autoSpaceDN w:val="0"/>
        <w:adjustRightInd w:val="0"/>
        <w:spacing w:line="276" w:lineRule="auto"/>
        <w:ind w:right="-710" w:firstLine="708"/>
        <w:jc w:val="both"/>
        <w:rPr>
          <w:rFonts w:ascii="Arial" w:hAnsi="Arial" w:cs="Arial"/>
          <w:sz w:val="24"/>
          <w:szCs w:val="24"/>
        </w:rPr>
      </w:pPr>
      <w:r w:rsidRPr="00F4356D">
        <w:rPr>
          <w:rFonts w:ascii="Arial" w:hAnsi="Arial" w:cs="Arial"/>
          <w:sz w:val="24"/>
          <w:szCs w:val="24"/>
        </w:rPr>
        <w:t xml:space="preserve">a) aumento de receita, proveniente de elevação de alíquotas, ampliação da base de cálculo, majoração ou criação de tributo ou contribuição; ou </w:t>
      </w:r>
    </w:p>
    <w:p w14:paraId="44F2215A" w14:textId="77777777" w:rsidR="00F4356D" w:rsidRPr="00F4356D" w:rsidRDefault="00F4356D" w:rsidP="00F4356D">
      <w:pPr>
        <w:autoSpaceDE w:val="0"/>
        <w:autoSpaceDN w:val="0"/>
        <w:adjustRightInd w:val="0"/>
        <w:spacing w:line="276" w:lineRule="auto"/>
        <w:ind w:right="-710" w:firstLine="708"/>
        <w:jc w:val="both"/>
        <w:rPr>
          <w:rFonts w:ascii="Arial" w:hAnsi="Arial" w:cs="Arial"/>
          <w:sz w:val="24"/>
          <w:szCs w:val="24"/>
        </w:rPr>
      </w:pPr>
      <w:r w:rsidRPr="00F4356D">
        <w:rPr>
          <w:rFonts w:ascii="Arial" w:hAnsi="Arial" w:cs="Arial"/>
          <w:sz w:val="24"/>
          <w:szCs w:val="24"/>
        </w:rPr>
        <w:t>b) redução permanente de despesas.</w:t>
      </w:r>
    </w:p>
    <w:p w14:paraId="17F664FF" w14:textId="77777777" w:rsidR="00F4356D" w:rsidRPr="00F4356D" w:rsidRDefault="00F4356D" w:rsidP="00F4356D">
      <w:pPr>
        <w:autoSpaceDE w:val="0"/>
        <w:autoSpaceDN w:val="0"/>
        <w:adjustRightInd w:val="0"/>
        <w:spacing w:line="276" w:lineRule="auto"/>
        <w:ind w:right="-710" w:firstLine="708"/>
        <w:jc w:val="both"/>
        <w:rPr>
          <w:rFonts w:ascii="Arial" w:hAnsi="Arial" w:cs="Arial"/>
          <w:color w:val="000000"/>
          <w:sz w:val="24"/>
          <w:szCs w:val="24"/>
          <w:shd w:val="clear" w:color="auto" w:fill="FFFFFF"/>
        </w:rPr>
      </w:pPr>
      <w:r w:rsidRPr="00F4356D">
        <w:rPr>
          <w:rFonts w:ascii="Arial" w:hAnsi="Arial" w:cs="Arial"/>
          <w:sz w:val="24"/>
          <w:szCs w:val="24"/>
        </w:rPr>
        <w:t>II - se não for obrigatória de caráter continuado, cumprir os requisitos previstos no art. 16 da Lei Complementar nº 101/2000, dispensada a apresentação de medida compensatória.</w:t>
      </w:r>
    </w:p>
    <w:p w14:paraId="628D424F" w14:textId="77777777" w:rsidR="00F4356D" w:rsidRPr="00F4356D" w:rsidRDefault="00F4356D" w:rsidP="00F4356D">
      <w:pPr>
        <w:spacing w:line="276" w:lineRule="auto"/>
        <w:ind w:right="-710" w:firstLine="708"/>
        <w:jc w:val="both"/>
        <w:rPr>
          <w:rFonts w:ascii="Arial" w:hAnsi="Arial" w:cs="Arial"/>
          <w:sz w:val="24"/>
          <w:szCs w:val="24"/>
        </w:rPr>
      </w:pPr>
      <w:r w:rsidRPr="00F4356D">
        <w:rPr>
          <w:rFonts w:ascii="Arial" w:hAnsi="Arial" w:cs="Arial"/>
          <w:b/>
          <w:bCs/>
          <w:sz w:val="24"/>
          <w:szCs w:val="24"/>
        </w:rPr>
        <w:t>Parágrafo único</w:t>
      </w:r>
      <w:r w:rsidRPr="00F4356D">
        <w:rPr>
          <w:rFonts w:ascii="Arial" w:hAnsi="Arial" w:cs="Arial"/>
          <w:sz w:val="24"/>
          <w:szCs w:val="24"/>
        </w:rPr>
        <w:t>. No caso de criação ou aumentos de despesas decorrentes de ações destinadas ao combate de situação de calamidade pública, aplicam-se, no que couber, as disposições do art. 65, § 1º, III, da Lei Complementar nº 101/2000.</w:t>
      </w:r>
    </w:p>
    <w:p w14:paraId="6035A8F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17</w:t>
      </w:r>
      <w:r w:rsidRPr="00F4356D">
        <w:rPr>
          <w:rFonts w:ascii="Arial" w:hAnsi="Arial" w:cs="Arial"/>
          <w:sz w:val="24"/>
          <w:szCs w:val="24"/>
        </w:rPr>
        <w:t xml:space="preserve">.  O controle de custos e avaliação dos </w:t>
      </w:r>
      <w:r w:rsidRPr="00F4356D">
        <w:rPr>
          <w:rFonts w:ascii="Arial" w:hAnsi="Arial" w:cs="Arial"/>
          <w:sz w:val="24"/>
          <w:szCs w:val="24"/>
          <w:shd w:val="clear" w:color="auto" w:fill="FFFFFF"/>
        </w:rPr>
        <w:t>resultados dos programas financiados com recursos dos orçamentos</w:t>
      </w:r>
      <w:r w:rsidRPr="00F4356D">
        <w:rPr>
          <w:rFonts w:ascii="Arial" w:hAnsi="Arial" w:cs="Arial"/>
          <w:sz w:val="24"/>
          <w:szCs w:val="24"/>
        </w:rPr>
        <w:t xml:space="preserve"> das ações desenvolvidas pelo Poder Público Municipal deverá ser orientado para o estabelecimento da relação entre a despesa pública e o resultado obtido, de forma a priorizar a análise da eficiência na alocação dos recursos, permitindo o acompanhamento das gestões orçamentária, financeira e patrimonial. </w:t>
      </w:r>
    </w:p>
    <w:p w14:paraId="059FE486"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Os custos serão apurados e avaliados através das operações orçamentárias, tomando-se por base, a comparação entre as despesas autorizadas e liquidadas, bem como a comparação entre as metas físicas previstas e as realizadas.</w:t>
      </w:r>
    </w:p>
    <w:p w14:paraId="620EA585"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2º</w:t>
      </w:r>
      <w:r w:rsidRPr="00F4356D">
        <w:rPr>
          <w:rFonts w:ascii="Arial" w:hAnsi="Arial" w:cs="Arial"/>
          <w:sz w:val="24"/>
          <w:szCs w:val="24"/>
        </w:rPr>
        <w:t xml:space="preserve"> Caberá à Secretaria da Fazenda organizar a formação de Grupos Setoriais de Custos, oportunizando o acesso a treinamentos, reuniões técnicas e outros eventos a serem realizados com vistas ao aperfeiçoamento da gestão de custos na Administração Pública Municipal.</w:t>
      </w:r>
    </w:p>
    <w:p w14:paraId="66F0CC09" w14:textId="77777777" w:rsidR="00F4356D" w:rsidRPr="00F4356D" w:rsidRDefault="00F4356D" w:rsidP="00F4356D">
      <w:pPr>
        <w:spacing w:after="160" w:line="276" w:lineRule="auto"/>
        <w:ind w:right="-710" w:firstLine="708"/>
        <w:jc w:val="both"/>
        <w:rPr>
          <w:rFonts w:ascii="Arial" w:hAnsi="Arial" w:cs="Arial"/>
          <w:color w:val="000000"/>
          <w:sz w:val="24"/>
          <w:szCs w:val="24"/>
        </w:rPr>
      </w:pPr>
      <w:r w:rsidRPr="00F4356D">
        <w:rPr>
          <w:rFonts w:ascii="Arial" w:hAnsi="Arial" w:cs="Arial"/>
          <w:b/>
          <w:bCs/>
          <w:color w:val="000000"/>
          <w:sz w:val="24"/>
          <w:szCs w:val="24"/>
        </w:rPr>
        <w:lastRenderedPageBreak/>
        <w:t>§ 3º</w:t>
      </w:r>
      <w:r w:rsidRPr="00F4356D">
        <w:rPr>
          <w:rFonts w:ascii="Arial" w:hAnsi="Arial" w:cs="Arial"/>
          <w:color w:val="000000"/>
          <w:sz w:val="24"/>
          <w:szCs w:val="24"/>
        </w:rPr>
        <w:t xml:space="preserve"> As informações sobre a previsão e execução física e financeira dos programas finalísticos, cujos totalidade de recursos contemplados no respectivo orçamento seja superior a R$ 350.000,00, deverão ser objeto de destaque no relatório de avaliação das metas fiscais do último quadrimestre do exercício, a ser apresentado em audiência pública na forma do art. 25 desta Lei.</w:t>
      </w:r>
      <w:bookmarkStart w:id="8" w:name="_Toc515609480"/>
      <w:bookmarkStart w:id="9" w:name="_Toc45524649"/>
    </w:p>
    <w:p w14:paraId="3ED0649D" w14:textId="77777777" w:rsidR="00F4356D" w:rsidRPr="00F4356D" w:rsidRDefault="00F4356D" w:rsidP="00F4356D">
      <w:pPr>
        <w:spacing w:line="276" w:lineRule="auto"/>
        <w:ind w:right="-710"/>
        <w:jc w:val="center"/>
        <w:rPr>
          <w:rFonts w:ascii="Arial" w:hAnsi="Arial" w:cs="Arial"/>
          <w:b/>
          <w:bCs/>
          <w:sz w:val="24"/>
          <w:szCs w:val="24"/>
        </w:rPr>
      </w:pPr>
      <w:r w:rsidRPr="00F4356D">
        <w:rPr>
          <w:rFonts w:ascii="Arial" w:hAnsi="Arial" w:cs="Arial"/>
          <w:b/>
          <w:bCs/>
          <w:sz w:val="24"/>
          <w:szCs w:val="24"/>
        </w:rPr>
        <w:t>Seção II - Das Diretrizes Específicas do Orçamento da Seguridade Social</w:t>
      </w:r>
      <w:bookmarkEnd w:id="8"/>
      <w:bookmarkEnd w:id="9"/>
    </w:p>
    <w:p w14:paraId="5BB0B1BA" w14:textId="77777777" w:rsidR="00F4356D" w:rsidRPr="00F4356D" w:rsidRDefault="00F4356D" w:rsidP="00F4356D">
      <w:pPr>
        <w:spacing w:line="276" w:lineRule="auto"/>
        <w:ind w:right="-710"/>
        <w:jc w:val="center"/>
        <w:rPr>
          <w:rFonts w:ascii="Arial" w:hAnsi="Arial" w:cs="Arial"/>
          <w:b/>
          <w:bCs/>
          <w:sz w:val="24"/>
          <w:szCs w:val="24"/>
        </w:rPr>
      </w:pPr>
    </w:p>
    <w:p w14:paraId="249F0C7B"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18</w:t>
      </w:r>
      <w:r w:rsidRPr="00F4356D">
        <w:rPr>
          <w:rFonts w:ascii="Arial" w:hAnsi="Arial" w:cs="Arial"/>
          <w:sz w:val="24"/>
          <w:szCs w:val="24"/>
        </w:rPr>
        <w:t>. O Orçamento da Seguridade Social compreenderá as dotações destinadas a atender às ações de saúde, previdência e assistência social, e contará, entre outros, com recursos provenientes:</w:t>
      </w:r>
    </w:p>
    <w:p w14:paraId="04AE9158"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 – do produto da arrecadação de impostos e transferências constitucionais vinculados às ações e serviços públicos de saúde, nos termos da Lei Complementar nº 141, de 13 de janeiro de 2012;</w:t>
      </w:r>
    </w:p>
    <w:p w14:paraId="380A9B76"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 – das receitas vinculadas ao Regime Próprio de Previdência Social dos Servidores Municipais;</w:t>
      </w:r>
    </w:p>
    <w:p w14:paraId="09FAC414"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 xml:space="preserve">III –das demais receitas cujas despesas integram, exclusivamente, o orçamento referido no </w:t>
      </w:r>
      <w:r w:rsidRPr="00F4356D">
        <w:rPr>
          <w:rFonts w:ascii="Arial" w:hAnsi="Arial" w:cs="Arial"/>
          <w:i/>
          <w:sz w:val="24"/>
          <w:szCs w:val="24"/>
        </w:rPr>
        <w:t>caput</w:t>
      </w:r>
      <w:r w:rsidRPr="00F4356D">
        <w:rPr>
          <w:rFonts w:ascii="Arial" w:hAnsi="Arial" w:cs="Arial"/>
          <w:sz w:val="24"/>
          <w:szCs w:val="24"/>
        </w:rPr>
        <w:t xml:space="preserve"> deste artigo;</w:t>
      </w:r>
    </w:p>
    <w:p w14:paraId="7440EE4E"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 xml:space="preserve">IV –de aportes de recursos do Orçamento Fiscal. </w:t>
      </w:r>
    </w:p>
    <w:p w14:paraId="7A032BA1"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Parágrafo único</w:t>
      </w:r>
      <w:r w:rsidRPr="00F4356D">
        <w:rPr>
          <w:rFonts w:ascii="Arial" w:hAnsi="Arial" w:cs="Arial"/>
          <w:sz w:val="24"/>
          <w:szCs w:val="24"/>
        </w:rPr>
        <w:t>. O orçamento da seguridade social será evidenciado na forma do demonstrativo previsto no inciso IV do parágrafo único do art. 7º desta Lei.</w:t>
      </w:r>
    </w:p>
    <w:p w14:paraId="66ADC515" w14:textId="77777777" w:rsidR="00F4356D" w:rsidRPr="00F4356D" w:rsidRDefault="00F4356D" w:rsidP="00F4356D">
      <w:pPr>
        <w:spacing w:line="276" w:lineRule="auto"/>
        <w:ind w:right="-710"/>
        <w:jc w:val="center"/>
        <w:rPr>
          <w:rFonts w:ascii="Arial" w:hAnsi="Arial" w:cs="Arial"/>
          <w:b/>
          <w:bCs/>
          <w:sz w:val="24"/>
          <w:szCs w:val="24"/>
        </w:rPr>
      </w:pPr>
      <w:bookmarkStart w:id="10" w:name="_Toc515609481"/>
      <w:bookmarkStart w:id="11" w:name="_Toc45524650"/>
      <w:r w:rsidRPr="00F4356D">
        <w:rPr>
          <w:rFonts w:ascii="Arial" w:hAnsi="Arial" w:cs="Arial"/>
          <w:b/>
          <w:bCs/>
          <w:sz w:val="24"/>
          <w:szCs w:val="24"/>
        </w:rPr>
        <w:t>Seção III – Da programação financeira</w:t>
      </w:r>
      <w:bookmarkEnd w:id="10"/>
      <w:r w:rsidRPr="00F4356D">
        <w:rPr>
          <w:rFonts w:ascii="Arial" w:hAnsi="Arial" w:cs="Arial"/>
          <w:b/>
          <w:bCs/>
          <w:sz w:val="24"/>
          <w:szCs w:val="24"/>
        </w:rPr>
        <w:t xml:space="preserve"> e limitação de empenhos</w:t>
      </w:r>
      <w:bookmarkEnd w:id="11"/>
    </w:p>
    <w:p w14:paraId="336EB1BD"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19</w:t>
      </w:r>
      <w:r w:rsidRPr="00F4356D">
        <w:rPr>
          <w:rFonts w:ascii="Arial" w:hAnsi="Arial" w:cs="Arial"/>
          <w:sz w:val="24"/>
          <w:szCs w:val="24"/>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14:paraId="38A563D8"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O ato referido no </w:t>
      </w:r>
      <w:r w:rsidRPr="00F4356D">
        <w:rPr>
          <w:rFonts w:ascii="Arial" w:hAnsi="Arial" w:cs="Arial"/>
          <w:i/>
          <w:sz w:val="24"/>
          <w:szCs w:val="24"/>
        </w:rPr>
        <w:t>caput</w:t>
      </w:r>
      <w:r w:rsidRPr="00F4356D">
        <w:rPr>
          <w:rFonts w:ascii="Arial" w:hAnsi="Arial" w:cs="Arial"/>
          <w:sz w:val="24"/>
          <w:szCs w:val="24"/>
        </w:rPr>
        <w:t xml:space="preserve"> deste artigo e os que o modificarem conterá:</w:t>
      </w:r>
    </w:p>
    <w:p w14:paraId="3BF43A8C"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 - metas quadrimestrais para o resultado primário acima da linha, que servirão de parâmetro para a avaliação de que trata o art. 9º, § 4º da Lei Complementar nº 101/2000;</w:t>
      </w:r>
    </w:p>
    <w:p w14:paraId="2376E7F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14:paraId="23AE1081"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III - cronograma de desembolso mensal de despesas, por órgão e unidade orçamentária.</w:t>
      </w:r>
    </w:p>
    <w:p w14:paraId="67BBDE8E"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lastRenderedPageBreak/>
        <w:t>§ 2º</w:t>
      </w:r>
      <w:r w:rsidRPr="00F4356D">
        <w:rPr>
          <w:rFonts w:ascii="Arial" w:hAnsi="Arial" w:cs="Arial"/>
          <w:sz w:val="24"/>
          <w:szCs w:val="24"/>
        </w:rPr>
        <w:t xml:space="preserve"> Excetuadas as despesas com pessoal e encargos sociais, precatórios e sentenças judiciais, o cronograma de desembolso do Poder Legislativo terá, como referencial, o repasse previsto no art. 168 da Constituição Federal, na forma de duodécimos. </w:t>
      </w:r>
    </w:p>
    <w:p w14:paraId="2D55E88B"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20.</w:t>
      </w:r>
      <w:r w:rsidRPr="00F4356D">
        <w:rPr>
          <w:rFonts w:ascii="Arial" w:hAnsi="Arial" w:cs="Arial"/>
          <w:sz w:val="24"/>
          <w:szCs w:val="24"/>
        </w:rPr>
        <w:t xml:space="preserve"> Na execução do orçamento, verificado que o comportamento da receita ordinária poderá afetar o cumprimento das metas fiscais, e observado o disposto no §2º do art. 2º desta Lei, os Poderes Executivo e Legislativo, adotarão o mecanismo da limitação de empenhos e movimentação financeira observadas as respectivas fontes de recursos, nas seguintes despesas:</w:t>
      </w:r>
    </w:p>
    <w:p w14:paraId="53C6F91B"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 – contrapartida para projetos ou atividades vinculados a recursos oriundos de fontes extraordinárias, como transferências voluntárias, operações de crédito, alienação de ativos, desde que ainda não comprometidos;</w:t>
      </w:r>
    </w:p>
    <w:p w14:paraId="134F6E22"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 - obras em geral, cuja fase ou etapa ainda não esteja iniciada;</w:t>
      </w:r>
    </w:p>
    <w:p w14:paraId="6940C25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III – aquisição de combustíveis e derivados, destinada à frota de veículos, exceto dos setores de saúde e educação.</w:t>
      </w:r>
    </w:p>
    <w:p w14:paraId="746CD2C8"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 xml:space="preserve">IV - dotação para materiais de consumo e serviços de terceiros das diversas atividades; </w:t>
      </w:r>
    </w:p>
    <w:p w14:paraId="0DDF2591"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 xml:space="preserve">V - diárias de viagem; </w:t>
      </w:r>
    </w:p>
    <w:p w14:paraId="44B0D62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VI - festividades, homenagens, recepções e demais eventos da mesma natureza;</w:t>
      </w:r>
    </w:p>
    <w:p w14:paraId="4F14BC5C"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VII – despesas com publicidade institucional;</w:t>
      </w:r>
    </w:p>
    <w:p w14:paraId="698AEA9D"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VIII - horas extras.</w:t>
      </w:r>
    </w:p>
    <w:p w14:paraId="11577708"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Na avaliação do cumprimento das metas bimestrais de arrecadação para implementação ou não do mecanismo da limitação de empenho e movimentação financeira, será considerado ainda o resultado financeiro apurado no Balanço Patrimonial do exercício de 2021, observada a vinculação de recursos.</w:t>
      </w:r>
    </w:p>
    <w:p w14:paraId="637E3A42"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2º</w:t>
      </w:r>
      <w:r w:rsidRPr="00F4356D">
        <w:rPr>
          <w:rFonts w:ascii="Arial" w:hAnsi="Arial" w:cs="Arial"/>
          <w:sz w:val="24"/>
          <w:szCs w:val="24"/>
        </w:rPr>
        <w:t xml:space="preserve"> Não serão objeto de limitação de empenho:</w:t>
      </w:r>
    </w:p>
    <w:p w14:paraId="7C8DD355"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 - despesas relacionadas com vinculações constitucionais e legais, nos termos do § 2º do art. 9º da Lei Complementar nº 101/2000 e do art. 28 da Lei Complementar Federal n.º 141, de 13 de janeiro de 2012;</w:t>
      </w:r>
    </w:p>
    <w:p w14:paraId="67F17084"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 - as despesas com o pagamento de precatórios e sentenças judiciais de pequeno valor;</w:t>
      </w:r>
    </w:p>
    <w:p w14:paraId="347675E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III - as despesas fixas e obrigatórias com pessoal e encargos sociais; e</w:t>
      </w:r>
    </w:p>
    <w:p w14:paraId="3F962C15"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 xml:space="preserve">IV - as despesas financiadas com recursos de Transferências Voluntárias da União e do Estado, Operações de Crédito e Alienação de bens, observado o disposto no art. 24 desta Lei. </w:t>
      </w:r>
    </w:p>
    <w:p w14:paraId="7F26038F"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lastRenderedPageBreak/>
        <w:t>§ 3º</w:t>
      </w:r>
      <w:r w:rsidRPr="00F4356D">
        <w:rPr>
          <w:rFonts w:ascii="Arial" w:hAnsi="Arial" w:cs="Arial"/>
          <w:sz w:val="24"/>
          <w:szCs w:val="24"/>
        </w:rPr>
        <w:t xml:space="preserve">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14:paraId="70636E4C"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4º</w:t>
      </w:r>
      <w:r w:rsidRPr="00F4356D">
        <w:rPr>
          <w:rFonts w:ascii="Arial" w:hAnsi="Arial" w:cs="Arial"/>
          <w:sz w:val="24"/>
          <w:szCs w:val="24"/>
        </w:rPr>
        <w:t xml:space="preserve"> Os Chefes do Poder Executivo e do Poder Legislativo, com base na informação a que se refere o § 3º, editarão ato, até o trigésimo dia subsequente ao encerramento do respectivo bimestre, que evidencie a limitação de empenho e movimentação financeira.</w:t>
      </w:r>
    </w:p>
    <w:p w14:paraId="318B426F"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5º</w:t>
      </w:r>
      <w:r w:rsidRPr="00F4356D">
        <w:rPr>
          <w:rFonts w:ascii="Arial" w:hAnsi="Arial" w:cs="Arial"/>
          <w:sz w:val="24"/>
          <w:szCs w:val="24"/>
        </w:rPr>
        <w:t xml:space="preserve"> Ocorrendo o restabelecimento da receita prevista, a recomposição se fará obedecendo ao disposto no art. 9º, § 1º, da Lei Complementar nº 101/2000.</w:t>
      </w:r>
    </w:p>
    <w:p w14:paraId="46807AA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6º</w:t>
      </w:r>
      <w:r w:rsidRPr="00F4356D">
        <w:rPr>
          <w:rFonts w:ascii="Arial" w:hAnsi="Arial" w:cs="Arial"/>
          <w:sz w:val="24"/>
          <w:szCs w:val="24"/>
        </w:rPr>
        <w:t xml:space="preserve">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14:paraId="49EE732B"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21</w:t>
      </w:r>
      <w:r w:rsidRPr="00F4356D">
        <w:rPr>
          <w:rFonts w:ascii="Arial" w:hAnsi="Arial" w:cs="Arial"/>
          <w:sz w:val="24"/>
          <w:szCs w:val="24"/>
        </w:rPr>
        <w:t xml:space="preserve">.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14:paraId="5BC5274A"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Os rendimentos das aplicações financeiras e outros ingressos orçamentários que venham a ser arrecadados através do Poder Legislativo, serão contabilizados como receita pelo Poder Executivo, tendo como contrapartida o repasse referido no </w:t>
      </w:r>
      <w:r w:rsidRPr="00F4356D">
        <w:rPr>
          <w:rFonts w:ascii="Arial" w:hAnsi="Arial" w:cs="Arial"/>
          <w:i/>
          <w:sz w:val="24"/>
          <w:szCs w:val="24"/>
        </w:rPr>
        <w:t>caput</w:t>
      </w:r>
      <w:r w:rsidRPr="00F4356D">
        <w:rPr>
          <w:rFonts w:ascii="Arial" w:hAnsi="Arial" w:cs="Arial"/>
          <w:sz w:val="24"/>
          <w:szCs w:val="24"/>
        </w:rPr>
        <w:t xml:space="preserve"> deste artigo.</w:t>
      </w:r>
    </w:p>
    <w:p w14:paraId="35812696"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2º</w:t>
      </w:r>
      <w:r w:rsidRPr="00F4356D">
        <w:rPr>
          <w:rFonts w:ascii="Arial" w:hAnsi="Arial" w:cs="Arial"/>
          <w:sz w:val="24"/>
          <w:szCs w:val="24"/>
        </w:rPr>
        <w:t xml:space="preserve"> Para fins do disposto no § 2º do art. 168 da Constituição Federal, até o último dia útil do exercício de 2022, o saldo de recursos financeiros porventura existentes na Câmara, será devolvido ao Poder Executivo, livre de quaisquer vinculações, deduzidos os valores correspondentes ao saldo das obrigações a pagar, nelas incluídos os restos a pagar do Poder Legislativo;</w:t>
      </w:r>
    </w:p>
    <w:p w14:paraId="36B22721"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3º</w:t>
      </w:r>
      <w:r w:rsidRPr="00F4356D">
        <w:rPr>
          <w:rFonts w:ascii="Arial" w:hAnsi="Arial" w:cs="Arial"/>
          <w:sz w:val="24"/>
          <w:szCs w:val="24"/>
        </w:rPr>
        <w:t xml:space="preserve"> O eventual saldo que não for devolvido no prazo estabelecido no parágrafo anterior, será devidamente registrado na contabilidade e considerado como antecipação de repasse do exercício financeiro de 2023.</w:t>
      </w:r>
    </w:p>
    <w:p w14:paraId="6B93E046"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22</w:t>
      </w:r>
      <w:r w:rsidRPr="00F4356D">
        <w:rPr>
          <w:rFonts w:ascii="Arial" w:hAnsi="Arial" w:cs="Arial"/>
          <w:sz w:val="24"/>
          <w:szCs w:val="24"/>
        </w:rPr>
        <w:t xml:space="preserve">.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 </w:t>
      </w:r>
    </w:p>
    <w:p w14:paraId="230FBB9E"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xml:space="preserve">§ 1º </w:t>
      </w:r>
      <w:r w:rsidRPr="00F4356D">
        <w:rPr>
          <w:rFonts w:ascii="Arial" w:hAnsi="Arial" w:cs="Arial"/>
          <w:sz w:val="24"/>
          <w:szCs w:val="24"/>
        </w:rPr>
        <w:t xml:space="preserve">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w:t>
      </w:r>
      <w:r w:rsidRPr="00F4356D">
        <w:rPr>
          <w:rFonts w:ascii="Arial" w:hAnsi="Arial" w:cs="Arial"/>
          <w:sz w:val="24"/>
          <w:szCs w:val="24"/>
        </w:rPr>
        <w:lastRenderedPageBreak/>
        <w:t>transferidos, não se confundindo com as liberações financeiras de recursos, que devem obedecer ao cronograma de desembolso previsto nos respectivos instrumentos.</w:t>
      </w:r>
    </w:p>
    <w:p w14:paraId="2D9D5C50"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2º</w:t>
      </w:r>
      <w:r w:rsidRPr="00F4356D">
        <w:rPr>
          <w:rFonts w:ascii="Arial" w:hAnsi="Arial" w:cs="Arial"/>
          <w:sz w:val="24"/>
          <w:szCs w:val="24"/>
        </w:rPr>
        <w:t xml:space="preserve"> A execução das Receitas e das Despesas identificará com codificação adequada cada uma das fontes de recursos, de forma a permitir o adequado controle da vinculação, na forma estabelecida pelo parágrafo único do art. 8º, da Lei Complementar nº 101/2000.</w:t>
      </w:r>
    </w:p>
    <w:p w14:paraId="08EB4095"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23</w:t>
      </w:r>
      <w:r w:rsidRPr="00F4356D">
        <w:rPr>
          <w:rFonts w:ascii="Arial" w:hAnsi="Arial" w:cs="Arial"/>
          <w:sz w:val="24"/>
          <w:szCs w:val="24"/>
        </w:rPr>
        <w:t>. A despesa não poderá ser realizada se não houver comprovada e suficiente disponibilidade de dotação orçamentária para atendê-la, sendo vedada a adoção de qualquer procedimento que viabilize a sua realização sem observar a referida disponibilidade.</w:t>
      </w:r>
    </w:p>
    <w:p w14:paraId="44194D9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os valores constantes no Projeto de Lei Orçamentária de 2022 poderão ser utilizados, até a sanção da respectiva Lei, para demonstrar a previsão orçamentária nos procedimentos referentes à fase interna da licitação.</w:t>
      </w:r>
    </w:p>
    <w:p w14:paraId="19C2CCA3"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2º</w:t>
      </w:r>
      <w:r w:rsidRPr="00F4356D">
        <w:rPr>
          <w:rFonts w:ascii="Arial" w:hAnsi="Arial" w:cs="Arial"/>
          <w:sz w:val="24"/>
          <w:szCs w:val="24"/>
        </w:rPr>
        <w:t xml:space="preserve"> A contabilidade registrará todos os atos e os fatos relativos à gestão orçamentário-financeira, independentemente de sua legalidade, sem prejuízo das responsabilidades e demais consequências advindas da inobservância do disposto no </w:t>
      </w:r>
      <w:r w:rsidRPr="00F4356D">
        <w:rPr>
          <w:rFonts w:ascii="Arial" w:hAnsi="Arial" w:cs="Arial"/>
          <w:i/>
          <w:sz w:val="24"/>
          <w:szCs w:val="24"/>
        </w:rPr>
        <w:t>caput</w:t>
      </w:r>
      <w:r w:rsidRPr="00F4356D">
        <w:rPr>
          <w:rFonts w:ascii="Arial" w:hAnsi="Arial" w:cs="Arial"/>
          <w:sz w:val="24"/>
          <w:szCs w:val="24"/>
        </w:rPr>
        <w:t xml:space="preserve"> deste artigo.</w:t>
      </w:r>
    </w:p>
    <w:p w14:paraId="61314BD3"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24.</w:t>
      </w:r>
      <w:r w:rsidRPr="00F4356D">
        <w:rPr>
          <w:rFonts w:ascii="Arial" w:hAnsi="Arial" w:cs="Arial"/>
          <w:sz w:val="24"/>
          <w:szCs w:val="24"/>
        </w:rPr>
        <w:t xml:space="preserve"> Para efeito do disposto no § 1º do art. 1º e do art. 42 da Lei Complementar nº 101/2000, considera-se contraída a obrigação, e exigível o empenho da despesa correspondente, no momento da formalização do contrato administrativo ou instrumento congênere.</w:t>
      </w:r>
    </w:p>
    <w:p w14:paraId="3B36C9D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No caso de despesas relativas a obras e prestação de serviços, consideram-se compromissadas apenas as prestações cujos pagamentos devam ser realizados no exercício financeiro, observado o cronograma pactuado.</w:t>
      </w:r>
    </w:p>
    <w:p w14:paraId="3FEA6EC3" w14:textId="77777777" w:rsidR="00F4356D" w:rsidRPr="00F4356D" w:rsidRDefault="00F4356D" w:rsidP="00F4356D">
      <w:pPr>
        <w:autoSpaceDE w:val="0"/>
        <w:autoSpaceDN w:val="0"/>
        <w:adjustRightInd w:val="0"/>
        <w:spacing w:line="276" w:lineRule="auto"/>
        <w:ind w:right="-710"/>
        <w:jc w:val="both"/>
        <w:rPr>
          <w:rFonts w:ascii="Arial" w:hAnsi="Arial" w:cs="Arial"/>
          <w:sz w:val="24"/>
          <w:szCs w:val="24"/>
        </w:rPr>
      </w:pPr>
      <w:r w:rsidRPr="00F4356D">
        <w:rPr>
          <w:rFonts w:ascii="Arial" w:hAnsi="Arial" w:cs="Arial"/>
          <w:sz w:val="24"/>
          <w:szCs w:val="24"/>
        </w:rPr>
        <w:t xml:space="preserve"> </w:t>
      </w:r>
      <w:r w:rsidRPr="00F4356D">
        <w:rPr>
          <w:rFonts w:ascii="Arial" w:hAnsi="Arial" w:cs="Arial"/>
          <w:sz w:val="24"/>
          <w:szCs w:val="24"/>
        </w:rPr>
        <w:tab/>
      </w:r>
      <w:r w:rsidRPr="00F4356D">
        <w:rPr>
          <w:rFonts w:ascii="Arial" w:hAnsi="Arial" w:cs="Arial"/>
          <w:b/>
          <w:bCs/>
          <w:sz w:val="24"/>
          <w:szCs w:val="24"/>
        </w:rPr>
        <w:t>§ 2º</w:t>
      </w:r>
      <w:r w:rsidRPr="00F4356D">
        <w:rPr>
          <w:rFonts w:ascii="Arial" w:hAnsi="Arial" w:cs="Arial"/>
          <w:sz w:val="24"/>
          <w:szCs w:val="24"/>
        </w:rPr>
        <w:t xml:space="preserve"> Sem prejuízo do disposto no caput, a inscrição ou a manutenção dos restos a pagar subordinam-se ao cumprimento de dispositivos constitucionais e legais que estabeleçam metas fiscais ou limites de despesas, observadas, no que couber, as regras de restos a pagar definidas na Instrução Normativa nº 04/2021, do Tribunal de Contas ou norma que lhe for superveniente.</w:t>
      </w:r>
    </w:p>
    <w:p w14:paraId="1FA7FC05" w14:textId="77777777" w:rsidR="00F4356D" w:rsidRPr="00F4356D" w:rsidRDefault="00F4356D" w:rsidP="00F4356D">
      <w:pPr>
        <w:autoSpaceDE w:val="0"/>
        <w:autoSpaceDN w:val="0"/>
        <w:adjustRightInd w:val="0"/>
        <w:spacing w:line="276" w:lineRule="auto"/>
        <w:ind w:right="-710"/>
        <w:jc w:val="both"/>
        <w:rPr>
          <w:rFonts w:ascii="Arial" w:hAnsi="Arial" w:cs="Arial"/>
          <w:sz w:val="24"/>
          <w:szCs w:val="24"/>
        </w:rPr>
      </w:pPr>
    </w:p>
    <w:p w14:paraId="0A7C02BE"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25</w:t>
      </w:r>
      <w:r w:rsidRPr="00F4356D">
        <w:rPr>
          <w:rFonts w:ascii="Arial" w:hAnsi="Arial" w:cs="Arial"/>
          <w:sz w:val="24"/>
          <w:szCs w:val="24"/>
        </w:rPr>
        <w:t>.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14:paraId="5281EBF8"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Compete ao Poder Legislativo Municipal, mediante prévio agendamento com o Poder Executivo, convocar e coordenar a realização das audiências públicas referidas no </w:t>
      </w:r>
      <w:r w:rsidRPr="00F4356D">
        <w:rPr>
          <w:rFonts w:ascii="Arial" w:hAnsi="Arial" w:cs="Arial"/>
          <w:i/>
          <w:sz w:val="24"/>
          <w:szCs w:val="24"/>
        </w:rPr>
        <w:t>caput</w:t>
      </w:r>
      <w:r w:rsidRPr="00F4356D">
        <w:rPr>
          <w:rFonts w:ascii="Arial" w:hAnsi="Arial" w:cs="Arial"/>
          <w:sz w:val="24"/>
          <w:szCs w:val="24"/>
        </w:rPr>
        <w:t>.</w:t>
      </w:r>
    </w:p>
    <w:p w14:paraId="5D4664BB"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2º § 3</w:t>
      </w:r>
      <w:r w:rsidRPr="00F4356D">
        <w:rPr>
          <w:rFonts w:ascii="Arial" w:hAnsi="Arial" w:cs="Arial"/>
          <w:sz w:val="24"/>
          <w:szCs w:val="24"/>
        </w:rPr>
        <w:t xml:space="preserve">º </w:t>
      </w:r>
      <w:r w:rsidRPr="00F4356D">
        <w:rPr>
          <w:rFonts w:ascii="Arial" w:hAnsi="Arial" w:cs="Arial"/>
          <w:sz w:val="24"/>
          <w:szCs w:val="24"/>
          <w:shd w:val="clear" w:color="auto" w:fill="FFFFFF"/>
        </w:rPr>
        <w:t xml:space="preserve">Durante a vigência de medidas restritivas à circulação e reunião de pessoas em decorrência Emergência em Saúde Pública em decorrência do </w:t>
      </w:r>
      <w:r w:rsidRPr="00F4356D">
        <w:rPr>
          <w:rFonts w:ascii="Arial" w:hAnsi="Arial" w:cs="Arial"/>
          <w:sz w:val="24"/>
          <w:szCs w:val="24"/>
          <w:shd w:val="clear" w:color="auto" w:fill="FFFFFF"/>
        </w:rPr>
        <w:lastRenderedPageBreak/>
        <w:t xml:space="preserve">coronavírus (COVID-19), as audiências públicas de que trata este artigo serão realizadas </w:t>
      </w:r>
      <w:r w:rsidRPr="00F4356D">
        <w:rPr>
          <w:rFonts w:ascii="Arial" w:hAnsi="Arial" w:cs="Arial"/>
          <w:sz w:val="24"/>
          <w:szCs w:val="24"/>
        </w:rPr>
        <w:t>de forma virtual, mediante o uso de tecnologias que permitam a participação de qualquer interessado.</w:t>
      </w:r>
      <w:bookmarkStart w:id="12" w:name="_Toc515609482"/>
      <w:bookmarkStart w:id="13" w:name="_Toc45524651"/>
    </w:p>
    <w:p w14:paraId="70933964" w14:textId="77777777" w:rsidR="00F4356D" w:rsidRPr="00F4356D" w:rsidRDefault="00F4356D" w:rsidP="00F4356D">
      <w:pPr>
        <w:spacing w:line="276" w:lineRule="auto"/>
        <w:ind w:right="-710"/>
        <w:jc w:val="center"/>
        <w:rPr>
          <w:rFonts w:ascii="Arial" w:hAnsi="Arial" w:cs="Arial"/>
          <w:b/>
          <w:bCs/>
          <w:sz w:val="24"/>
          <w:szCs w:val="24"/>
        </w:rPr>
      </w:pPr>
      <w:r w:rsidRPr="00F4356D">
        <w:rPr>
          <w:rFonts w:ascii="Arial" w:hAnsi="Arial" w:cs="Arial"/>
          <w:b/>
          <w:bCs/>
          <w:sz w:val="24"/>
          <w:szCs w:val="24"/>
        </w:rPr>
        <w:t>Seção IV - Das Alterações da Lei Orçamentária</w:t>
      </w:r>
      <w:bookmarkEnd w:id="12"/>
      <w:bookmarkEnd w:id="13"/>
    </w:p>
    <w:p w14:paraId="5B0D9AE7" w14:textId="77777777" w:rsidR="00F4356D" w:rsidRPr="00F4356D" w:rsidRDefault="00F4356D" w:rsidP="00F4356D">
      <w:pPr>
        <w:spacing w:line="276" w:lineRule="auto"/>
        <w:ind w:right="-710"/>
        <w:rPr>
          <w:rFonts w:ascii="Arial" w:hAnsi="Arial" w:cs="Arial"/>
          <w:b/>
          <w:bCs/>
          <w:sz w:val="24"/>
          <w:szCs w:val="24"/>
        </w:rPr>
      </w:pPr>
    </w:p>
    <w:p w14:paraId="33FC6736"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26.</w:t>
      </w:r>
      <w:r w:rsidRPr="00F4356D">
        <w:rPr>
          <w:rFonts w:ascii="Arial" w:hAnsi="Arial" w:cs="Arial"/>
          <w:sz w:val="24"/>
          <w:szCs w:val="24"/>
        </w:rPr>
        <w:t xml:space="preserve"> A abertura de créditos suplementares e especiais dependerá da existência de recursos disponíveis para a despesa, nos termos da Lei Federal nº 4.320/1964.</w:t>
      </w:r>
    </w:p>
    <w:p w14:paraId="75104D8B"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A apuração do excesso de arrecadação para fins de abertura de créditos adicionais será realizada por fonte de recursos, conforme exigência contida no art. 8º, parágrafo único, da Lei Complementar nº 101/2000.</w:t>
      </w:r>
    </w:p>
    <w:p w14:paraId="0D7BBFEA"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2º</w:t>
      </w:r>
      <w:r w:rsidRPr="00F4356D">
        <w:rPr>
          <w:rFonts w:ascii="Arial" w:hAnsi="Arial" w:cs="Arial"/>
          <w:sz w:val="24"/>
          <w:szCs w:val="24"/>
        </w:rPr>
        <w:t xml:space="preserve">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14:paraId="5F7E3592"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3º</w:t>
      </w:r>
      <w:r w:rsidRPr="00F4356D">
        <w:rPr>
          <w:rFonts w:ascii="Arial" w:hAnsi="Arial" w:cs="Arial"/>
          <w:sz w:val="24"/>
          <w:szCs w:val="24"/>
        </w:rPr>
        <w:t xml:space="preserve">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14:paraId="07D9F96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4º</w:t>
      </w:r>
      <w:r w:rsidRPr="00F4356D">
        <w:rPr>
          <w:rFonts w:ascii="Arial" w:hAnsi="Arial" w:cs="Arial"/>
          <w:sz w:val="24"/>
          <w:szCs w:val="24"/>
        </w:rPr>
        <w:t xml:space="preserve"> Nos casos de abertura de créditos suplementares e especiais à conta de superávit financeiro, as exposições de motivos conterão informações relativas a:</w:t>
      </w:r>
    </w:p>
    <w:p w14:paraId="5041DCAD"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 - superávit financeiro do exercício de 2021, por fonte de recursos;</w:t>
      </w:r>
    </w:p>
    <w:p w14:paraId="09BBC725"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 - créditos especiais e extraordinários reabertos no exercício de 2022;</w:t>
      </w:r>
    </w:p>
    <w:p w14:paraId="03D3984F"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 xml:space="preserve">III – valores do superávit já utilizados em créditos adicionais, abertos ou em tramitação; </w:t>
      </w:r>
    </w:p>
    <w:p w14:paraId="6786B536"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IV – saldo atualizado do superávit financeiro disponível, por fonte de recursos.</w:t>
      </w:r>
    </w:p>
    <w:p w14:paraId="35E2C065"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5º</w:t>
      </w:r>
      <w:r w:rsidRPr="00F4356D">
        <w:rPr>
          <w:rFonts w:ascii="Arial" w:hAnsi="Arial" w:cs="Arial"/>
          <w:sz w:val="24"/>
          <w:szCs w:val="24"/>
        </w:rPr>
        <w:t xml:space="preserve"> Considera-se superávit financeiro do exercício anterior, para fins do § 2º do art. 43 da Lei Federal nº 4.320/1964, os recursos que forem disponibilizados a partir do cancelamento de restos a pagar, obedecida a fonte de recursos correspondente.</w:t>
      </w:r>
    </w:p>
    <w:p w14:paraId="56FBAC1F" w14:textId="77777777" w:rsidR="00F4356D" w:rsidRPr="00F4356D" w:rsidRDefault="00F4356D" w:rsidP="00F4356D">
      <w:pPr>
        <w:spacing w:after="160" w:line="276" w:lineRule="auto"/>
        <w:ind w:right="-710"/>
        <w:jc w:val="both"/>
        <w:rPr>
          <w:rFonts w:ascii="Arial" w:hAnsi="Arial" w:cs="Arial"/>
          <w:sz w:val="24"/>
          <w:szCs w:val="24"/>
        </w:rPr>
      </w:pPr>
      <w:r w:rsidRPr="00F4356D">
        <w:rPr>
          <w:rFonts w:ascii="Arial" w:hAnsi="Arial" w:cs="Arial"/>
          <w:sz w:val="24"/>
          <w:szCs w:val="24"/>
        </w:rPr>
        <w:t>6 7º Os créditos adicionais serão abertos conforme detalhamento constante no art. 4.º desta Lei.</w:t>
      </w:r>
    </w:p>
    <w:p w14:paraId="1006FB6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27</w:t>
      </w:r>
      <w:r w:rsidRPr="00F4356D">
        <w:rPr>
          <w:rFonts w:ascii="Arial" w:hAnsi="Arial" w:cs="Arial"/>
          <w:sz w:val="24"/>
          <w:szCs w:val="24"/>
        </w:rPr>
        <w:t>. No âmbito do Poder Legislativo, a abertura de créditos suplementares autorizados na Lei Orçamentária de 2022, com indicação de recursos compensatórios do próprio órgão, nos termos do art. 43, § 1º, inciso III, da Lei Federal nº 4.320/1964, proceder-se-á por ato do Presidente da Câmara dos Vereadores.</w:t>
      </w:r>
    </w:p>
    <w:p w14:paraId="76E7659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lastRenderedPageBreak/>
        <w:t>Art. 28</w:t>
      </w:r>
      <w:r w:rsidRPr="00F4356D">
        <w:rPr>
          <w:rFonts w:ascii="Arial" w:hAnsi="Arial" w:cs="Arial"/>
          <w:sz w:val="24"/>
          <w:szCs w:val="24"/>
        </w:rPr>
        <w:t xml:space="preserve">.  Quanto necessária, a reabertura dos créditos especiais e extraordinários, conforme disposto no art. 167, § 2º, da Constituição Federal, será efetivada por ato do Poder </w:t>
      </w:r>
      <w:proofErr w:type="gramStart"/>
      <w:r w:rsidRPr="00F4356D">
        <w:rPr>
          <w:rFonts w:ascii="Arial" w:hAnsi="Arial" w:cs="Arial"/>
          <w:sz w:val="24"/>
          <w:szCs w:val="24"/>
        </w:rPr>
        <w:t>Executivo,  até</w:t>
      </w:r>
      <w:proofErr w:type="gramEnd"/>
      <w:r w:rsidRPr="00F4356D">
        <w:rPr>
          <w:rFonts w:ascii="Arial" w:hAnsi="Arial" w:cs="Arial"/>
          <w:sz w:val="24"/>
          <w:szCs w:val="24"/>
        </w:rPr>
        <w:t xml:space="preserve"> 31 de março de 2022.</w:t>
      </w:r>
    </w:p>
    <w:p w14:paraId="26318DDA" w14:textId="77777777" w:rsidR="00F4356D" w:rsidRPr="00F4356D" w:rsidRDefault="00F4356D" w:rsidP="00F4356D">
      <w:pPr>
        <w:spacing w:after="160" w:line="276" w:lineRule="auto"/>
        <w:ind w:right="-710"/>
        <w:jc w:val="both"/>
        <w:rPr>
          <w:rFonts w:ascii="Arial" w:hAnsi="Arial" w:cs="Arial"/>
          <w:sz w:val="24"/>
          <w:szCs w:val="24"/>
        </w:rPr>
      </w:pPr>
      <w:r w:rsidRPr="00F4356D">
        <w:rPr>
          <w:rFonts w:ascii="Arial" w:hAnsi="Arial" w:cs="Arial"/>
          <w:sz w:val="24"/>
          <w:szCs w:val="24"/>
        </w:rPr>
        <w:t>Parágrafo único.  A codificação da programação objeto da reabertura dos créditos especiais e extraordinários poderá ser adequada à constante da Lei Orçamentária de 2022, desde que não haja alteração da finalidade das ações orçamentárias.</w:t>
      </w:r>
    </w:p>
    <w:p w14:paraId="561BB3FE"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29</w:t>
      </w:r>
      <w:r w:rsidRPr="00F4356D">
        <w:rPr>
          <w:rFonts w:ascii="Arial" w:hAnsi="Arial" w:cs="Arial"/>
          <w:sz w:val="24"/>
          <w:szCs w:val="24"/>
        </w:rPr>
        <w:t xml:space="preserve">. O Poder Executivo poderá, mediante Decreto, transpor, remanejar, transferir ou utilizar, total ou parcialmente, as dotações orçamentárias aprovadas na Lei Orçamentária de 2022 e em créditos adicionais, em decorrência da extinção, transformação, transferência, incorporação ou desmembramento de órgãos e entidades, bem como de alterações de suas competências ou atribuições, mantida a estrutura </w:t>
      </w:r>
      <w:proofErr w:type="gramStart"/>
      <w:r w:rsidRPr="00F4356D">
        <w:rPr>
          <w:rFonts w:ascii="Arial" w:hAnsi="Arial" w:cs="Arial"/>
          <w:sz w:val="24"/>
          <w:szCs w:val="24"/>
        </w:rPr>
        <w:t>programática,  conforme</w:t>
      </w:r>
      <w:proofErr w:type="gramEnd"/>
      <w:r w:rsidRPr="00F4356D">
        <w:rPr>
          <w:rFonts w:ascii="Arial" w:hAnsi="Arial" w:cs="Arial"/>
          <w:sz w:val="24"/>
          <w:szCs w:val="24"/>
        </w:rPr>
        <w:t xml:space="preserve"> as definições do art. 4º desta Lei.</w:t>
      </w:r>
    </w:p>
    <w:p w14:paraId="7FD50244"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Para fins do disposto no caput, considera-se:</w:t>
      </w:r>
    </w:p>
    <w:p w14:paraId="29C4F998" w14:textId="77777777" w:rsidR="00F4356D" w:rsidRPr="00F4356D" w:rsidRDefault="00F4356D" w:rsidP="00F4356D">
      <w:pPr>
        <w:spacing w:after="160" w:line="276" w:lineRule="auto"/>
        <w:ind w:right="-710" w:firstLine="708"/>
        <w:jc w:val="both"/>
        <w:rPr>
          <w:rFonts w:ascii="Arial" w:hAnsi="Arial" w:cs="Arial"/>
          <w:color w:val="252525"/>
          <w:sz w:val="24"/>
          <w:szCs w:val="24"/>
          <w:shd w:val="clear" w:color="auto" w:fill="FFFFFF"/>
        </w:rPr>
      </w:pPr>
      <w:r w:rsidRPr="00F4356D">
        <w:rPr>
          <w:rFonts w:ascii="Arial" w:hAnsi="Arial" w:cs="Arial"/>
          <w:sz w:val="24"/>
          <w:szCs w:val="24"/>
        </w:rPr>
        <w:t xml:space="preserve">I – Transposições: deslocamento de dotações orçamentárias entre programas de trabalho alocados </w:t>
      </w:r>
      <w:r w:rsidRPr="00F4356D">
        <w:rPr>
          <w:rFonts w:ascii="Arial" w:hAnsi="Arial" w:cs="Arial"/>
          <w:color w:val="252525"/>
          <w:sz w:val="24"/>
          <w:szCs w:val="24"/>
          <w:shd w:val="clear" w:color="auto" w:fill="FFFFFF"/>
        </w:rPr>
        <w:t>dentro do mesmo órgão ou unidade orçamentária;</w:t>
      </w:r>
    </w:p>
    <w:p w14:paraId="04A7FEAF" w14:textId="77777777" w:rsidR="00F4356D" w:rsidRPr="00F4356D" w:rsidRDefault="00F4356D" w:rsidP="00F4356D">
      <w:pPr>
        <w:spacing w:after="160" w:line="276" w:lineRule="auto"/>
        <w:ind w:right="-710" w:firstLine="708"/>
        <w:jc w:val="both"/>
        <w:rPr>
          <w:rFonts w:ascii="Arial" w:hAnsi="Arial" w:cs="Arial"/>
          <w:color w:val="252525"/>
          <w:sz w:val="24"/>
          <w:szCs w:val="24"/>
          <w:shd w:val="clear" w:color="auto" w:fill="FFFFFF"/>
        </w:rPr>
      </w:pPr>
      <w:r w:rsidRPr="00F4356D">
        <w:rPr>
          <w:rFonts w:ascii="Arial" w:hAnsi="Arial" w:cs="Arial"/>
          <w:color w:val="252525"/>
          <w:sz w:val="24"/>
          <w:szCs w:val="24"/>
          <w:shd w:val="clear" w:color="auto" w:fill="FFFFFF"/>
        </w:rPr>
        <w:t>II – Remanejamentos: deslocamento de dotações orçamentárias de um órgão para outro ou de uma unidade orçamentária para outra;</w:t>
      </w:r>
    </w:p>
    <w:p w14:paraId="3BE23779" w14:textId="77777777" w:rsidR="00F4356D" w:rsidRPr="00F4356D" w:rsidRDefault="00F4356D" w:rsidP="00F4356D">
      <w:pPr>
        <w:spacing w:after="160" w:line="276" w:lineRule="auto"/>
        <w:ind w:right="-710" w:firstLine="708"/>
        <w:jc w:val="both"/>
        <w:rPr>
          <w:rFonts w:ascii="Arial" w:hAnsi="Arial" w:cs="Arial"/>
          <w:color w:val="252525"/>
          <w:sz w:val="24"/>
          <w:szCs w:val="24"/>
          <w:shd w:val="clear" w:color="auto" w:fill="FFFFFF"/>
        </w:rPr>
      </w:pPr>
      <w:r w:rsidRPr="00F4356D">
        <w:rPr>
          <w:rFonts w:ascii="Arial" w:hAnsi="Arial" w:cs="Arial"/>
          <w:color w:val="252525"/>
          <w:sz w:val="24"/>
          <w:szCs w:val="24"/>
          <w:shd w:val="clear" w:color="auto" w:fill="FFFFFF"/>
        </w:rPr>
        <w:t xml:space="preserve">III – Transferências: deslocamento de dotações de despesas correntes para despesas de capital, ou vice-versa, dentro do mesmo órgão ou unidade orçamentária e do mesmo programa de trabalho. </w:t>
      </w:r>
    </w:p>
    <w:p w14:paraId="7076E3C3"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2º</w:t>
      </w:r>
      <w:r w:rsidRPr="00F4356D">
        <w:rPr>
          <w:rFonts w:ascii="Arial" w:hAnsi="Arial" w:cs="Arial"/>
          <w:sz w:val="24"/>
          <w:szCs w:val="24"/>
        </w:rPr>
        <w:t xml:space="preserve"> As transposições, transferências ou remanejamentos deverão ser destinados a categoria de programação existente e não poderão resultar em alteração do total da despesa autorizada na Lei Orçamentária, podendo haver, excepcionalmente, ajuste na classificação por funções e subfunções.</w:t>
      </w:r>
    </w:p>
    <w:p w14:paraId="1C0CA2A2"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30</w:t>
      </w:r>
      <w:r w:rsidRPr="00F4356D">
        <w:rPr>
          <w:rFonts w:ascii="Arial" w:hAnsi="Arial" w:cs="Arial"/>
          <w:sz w:val="24"/>
          <w:szCs w:val="24"/>
        </w:rPr>
        <w:t>.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14:paraId="2BC7DED2" w14:textId="77777777" w:rsidR="00F4356D" w:rsidRPr="00F4356D" w:rsidRDefault="00F4356D" w:rsidP="00F4356D">
      <w:pPr>
        <w:autoSpaceDE w:val="0"/>
        <w:autoSpaceDN w:val="0"/>
        <w:adjustRightInd w:val="0"/>
        <w:spacing w:line="276" w:lineRule="auto"/>
        <w:ind w:right="-710"/>
        <w:jc w:val="both"/>
        <w:rPr>
          <w:rFonts w:ascii="Arial" w:eastAsia="SimSun" w:hAnsi="Arial" w:cs="Arial"/>
          <w:b/>
          <w:color w:val="000000"/>
          <w:sz w:val="24"/>
          <w:szCs w:val="24"/>
          <w:lang w:eastAsia="zh-CN"/>
        </w:rPr>
      </w:pPr>
      <w:r w:rsidRPr="00F4356D">
        <w:rPr>
          <w:rFonts w:ascii="Arial" w:eastAsia="SimSun" w:hAnsi="Arial" w:cs="Arial"/>
          <w:b/>
          <w:color w:val="000000"/>
          <w:sz w:val="24"/>
          <w:szCs w:val="24"/>
          <w:lang w:eastAsia="zh-CN"/>
        </w:rPr>
        <w:t xml:space="preserve"> </w:t>
      </w:r>
      <w:r w:rsidRPr="00F4356D">
        <w:rPr>
          <w:rFonts w:ascii="Arial" w:eastAsia="SimSun" w:hAnsi="Arial" w:cs="Arial"/>
          <w:b/>
          <w:color w:val="000000"/>
          <w:sz w:val="24"/>
          <w:szCs w:val="24"/>
          <w:lang w:eastAsia="zh-CN"/>
        </w:rPr>
        <w:tab/>
        <w:t xml:space="preserve">Parágrafo único. </w:t>
      </w:r>
      <w:r w:rsidRPr="00F4356D">
        <w:rPr>
          <w:rFonts w:ascii="Arial" w:eastAsia="SimSun" w:hAnsi="Arial" w:cs="Arial"/>
          <w:color w:val="000000"/>
          <w:sz w:val="24"/>
          <w:szCs w:val="24"/>
          <w:lang w:eastAsia="zh-CN"/>
        </w:rPr>
        <w:t xml:space="preserve">O disposto no caput também se aplica no caso de </w:t>
      </w:r>
      <w:r w:rsidRPr="00F4356D">
        <w:rPr>
          <w:rFonts w:ascii="Arial" w:hAnsi="Arial" w:cs="Arial"/>
          <w:sz w:val="24"/>
          <w:szCs w:val="24"/>
        </w:rPr>
        <w:t>ajustes na codificação orçamentária, decorrentes da necessidade de adequação à classificação vigente, desde que não impliquem em mudança de valores e de finalidade da programação.</w:t>
      </w:r>
    </w:p>
    <w:p w14:paraId="2DBBDA15" w14:textId="77777777" w:rsidR="00F4356D" w:rsidRPr="00F4356D" w:rsidRDefault="00F4356D" w:rsidP="00F4356D">
      <w:pPr>
        <w:spacing w:line="276" w:lineRule="auto"/>
        <w:ind w:right="-710"/>
        <w:jc w:val="both"/>
        <w:rPr>
          <w:rFonts w:ascii="Arial" w:eastAsia="SimSun" w:hAnsi="Arial" w:cs="Arial"/>
          <w:b/>
          <w:bCs/>
          <w:color w:val="000000"/>
          <w:sz w:val="24"/>
          <w:szCs w:val="24"/>
          <w:lang w:eastAsia="zh-CN"/>
        </w:rPr>
      </w:pPr>
      <w:bookmarkStart w:id="14" w:name="_Toc45524652"/>
    </w:p>
    <w:p w14:paraId="1AAA2F86" w14:textId="77777777" w:rsidR="00F4356D" w:rsidRPr="00F4356D" w:rsidRDefault="00F4356D" w:rsidP="00F4356D">
      <w:pPr>
        <w:spacing w:line="276" w:lineRule="auto"/>
        <w:ind w:right="-710"/>
        <w:jc w:val="center"/>
        <w:rPr>
          <w:rFonts w:ascii="Arial" w:hAnsi="Arial" w:cs="Arial"/>
          <w:b/>
          <w:bCs/>
          <w:sz w:val="24"/>
          <w:szCs w:val="24"/>
        </w:rPr>
      </w:pPr>
      <w:r w:rsidRPr="00F4356D">
        <w:rPr>
          <w:rFonts w:ascii="Arial" w:eastAsia="SimSun" w:hAnsi="Arial" w:cs="Arial"/>
          <w:b/>
          <w:bCs/>
          <w:color w:val="000000"/>
          <w:sz w:val="24"/>
          <w:szCs w:val="24"/>
          <w:lang w:eastAsia="zh-CN"/>
        </w:rPr>
        <w:t xml:space="preserve">Seção V - </w:t>
      </w:r>
      <w:r w:rsidRPr="00F4356D">
        <w:rPr>
          <w:rFonts w:ascii="Arial" w:hAnsi="Arial" w:cs="Arial"/>
          <w:b/>
          <w:bCs/>
          <w:sz w:val="24"/>
          <w:szCs w:val="24"/>
        </w:rPr>
        <w:t>Da execução provisória do Projeto de Lei Orçamentária</w:t>
      </w:r>
      <w:bookmarkEnd w:id="14"/>
    </w:p>
    <w:p w14:paraId="0DEDDDA2" w14:textId="77777777" w:rsidR="00F4356D" w:rsidRPr="00F4356D" w:rsidRDefault="00F4356D" w:rsidP="00F4356D">
      <w:pPr>
        <w:spacing w:after="160" w:line="276" w:lineRule="auto"/>
        <w:ind w:right="-710" w:firstLine="708"/>
        <w:jc w:val="both"/>
        <w:rPr>
          <w:rFonts w:ascii="Arial" w:hAnsi="Arial" w:cs="Arial"/>
          <w:b/>
          <w:bCs/>
          <w:sz w:val="24"/>
          <w:szCs w:val="24"/>
        </w:rPr>
      </w:pPr>
    </w:p>
    <w:p w14:paraId="795C3AEF"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lastRenderedPageBreak/>
        <w:t>Art. 31</w:t>
      </w:r>
      <w:r w:rsidRPr="00F4356D">
        <w:rPr>
          <w:rFonts w:ascii="Arial" w:hAnsi="Arial" w:cs="Arial"/>
          <w:sz w:val="24"/>
          <w:szCs w:val="24"/>
        </w:rPr>
        <w:t>. Se o projeto de lei orçamentária não for aprovado até 31 de dezembro de 2021,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14:paraId="624DCDAC"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Excetuam-se do disposto no </w:t>
      </w:r>
      <w:r w:rsidRPr="00F4356D">
        <w:rPr>
          <w:rFonts w:ascii="Arial" w:hAnsi="Arial" w:cs="Arial"/>
          <w:i/>
          <w:sz w:val="24"/>
          <w:szCs w:val="24"/>
        </w:rPr>
        <w:t>caput</w:t>
      </w:r>
      <w:r w:rsidRPr="00F4356D">
        <w:rPr>
          <w:rFonts w:ascii="Arial" w:hAnsi="Arial" w:cs="Arial"/>
          <w:sz w:val="24"/>
          <w:szCs w:val="24"/>
        </w:rPr>
        <w:t xml:space="preserve"> deste artigo as despesas correntes nas áreas da saúde, educação e assistência social, bem como aquelas relativas ao serviço da dívida, amortização, precatórios judiciais e despesas à conta de recursos oriundos de transferências voluntárias e de operações de crédito, que serão executadas segundo suas necessidades específicas e a efetiva disponibilidade de recursos.</w:t>
      </w:r>
    </w:p>
    <w:p w14:paraId="5DD81A3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2º</w:t>
      </w:r>
      <w:r w:rsidRPr="00F4356D">
        <w:rPr>
          <w:rFonts w:ascii="Arial" w:hAnsi="Arial" w:cs="Arial"/>
          <w:sz w:val="24"/>
          <w:szCs w:val="24"/>
        </w:rPr>
        <w:t xml:space="preserve"> Não será interrompido o processamento de despesas com obras em andamento, assim entendidas aquelas constantes no projeto de lei orçamentária cuja execução financeira, até 31 de dezembro de 2021, já tenha ultrapassado 20% (vinte por cento) do valor contratado.</w:t>
      </w:r>
      <w:bookmarkStart w:id="15" w:name="_Hlk11050493"/>
    </w:p>
    <w:p w14:paraId="4672D546" w14:textId="77777777" w:rsidR="00F4356D" w:rsidRPr="00F4356D" w:rsidRDefault="00F4356D" w:rsidP="00F4356D">
      <w:pPr>
        <w:spacing w:line="276" w:lineRule="auto"/>
        <w:ind w:right="-710"/>
        <w:jc w:val="center"/>
        <w:rPr>
          <w:rFonts w:ascii="Arial" w:hAnsi="Arial" w:cs="Arial"/>
          <w:b/>
          <w:bCs/>
          <w:sz w:val="24"/>
          <w:szCs w:val="24"/>
        </w:rPr>
      </w:pPr>
      <w:bookmarkStart w:id="16" w:name="_Toc45524653"/>
      <w:r w:rsidRPr="00F4356D">
        <w:rPr>
          <w:rFonts w:ascii="Arial" w:eastAsia="Calibri" w:hAnsi="Arial" w:cs="Arial"/>
          <w:b/>
          <w:bCs/>
          <w:sz w:val="24"/>
          <w:szCs w:val="24"/>
          <w:lang w:val="x-none" w:eastAsia="x-none"/>
        </w:rPr>
        <w:t>Seção VI - Das Disposições Relativas às Emendas ao Projeto de Lei de</w:t>
      </w:r>
      <w:r w:rsidRPr="00F4356D">
        <w:rPr>
          <w:rFonts w:ascii="Arial" w:hAnsi="Arial" w:cs="Arial"/>
          <w:b/>
          <w:bCs/>
          <w:sz w:val="24"/>
          <w:szCs w:val="24"/>
        </w:rPr>
        <w:t xml:space="preserve"> Orçamento</w:t>
      </w:r>
      <w:bookmarkEnd w:id="16"/>
    </w:p>
    <w:p w14:paraId="3E6CACBB" w14:textId="77777777" w:rsidR="00F4356D" w:rsidRPr="00F4356D" w:rsidRDefault="00F4356D" w:rsidP="00F4356D">
      <w:pPr>
        <w:spacing w:line="276" w:lineRule="auto"/>
        <w:ind w:right="-710"/>
        <w:jc w:val="center"/>
        <w:rPr>
          <w:rFonts w:ascii="Arial" w:hAnsi="Arial" w:cs="Arial"/>
          <w:b/>
          <w:bCs/>
          <w:sz w:val="24"/>
          <w:szCs w:val="24"/>
        </w:rPr>
      </w:pPr>
      <w:bookmarkStart w:id="17" w:name="_Toc45524654"/>
      <w:r w:rsidRPr="00F4356D">
        <w:rPr>
          <w:rFonts w:ascii="Arial" w:hAnsi="Arial" w:cs="Arial"/>
          <w:b/>
          <w:bCs/>
          <w:sz w:val="24"/>
          <w:szCs w:val="24"/>
        </w:rPr>
        <w:t>Subseção I – Disposições Gerais</w:t>
      </w:r>
      <w:bookmarkEnd w:id="17"/>
    </w:p>
    <w:p w14:paraId="6A2B54A7" w14:textId="77777777" w:rsidR="00F4356D" w:rsidRPr="00F4356D" w:rsidRDefault="00F4356D" w:rsidP="00F4356D">
      <w:pPr>
        <w:spacing w:line="276" w:lineRule="auto"/>
        <w:ind w:right="-710"/>
        <w:jc w:val="center"/>
        <w:rPr>
          <w:rFonts w:ascii="Arial" w:hAnsi="Arial" w:cs="Arial"/>
          <w:b/>
          <w:bCs/>
          <w:sz w:val="24"/>
          <w:szCs w:val="24"/>
        </w:rPr>
      </w:pPr>
    </w:p>
    <w:p w14:paraId="1B5B78E4"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32</w:t>
      </w:r>
      <w:r w:rsidRPr="00F4356D">
        <w:rPr>
          <w:rFonts w:ascii="Arial" w:hAnsi="Arial" w:cs="Arial"/>
          <w:sz w:val="24"/>
          <w:szCs w:val="24"/>
        </w:rPr>
        <w:t xml:space="preserve">.  Toda e qualquer e emenda ao projeto de lei orçamentária ou aos projetos de lei que a modifiquem, deverão ser compatíveis com os programas e objetivos da Lei nº 4.950 de 31 de agosto de 2021 - Plano Plurianual 2022/2025 e com as diretrizes, disposições, prioridades e metas desta Lei. </w:t>
      </w:r>
    </w:p>
    <w:p w14:paraId="1F397DB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Não serão admitidas, com a ressalva do inciso III do § 3º do art. 166 da Constituição Federal, as emendas que resultem na diminuição das programações das despesas com pessoal e encargos sociais e com o serviço da dívida.</w:t>
      </w:r>
    </w:p>
    <w:p w14:paraId="7B98F334"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2º</w:t>
      </w:r>
      <w:r w:rsidRPr="00F4356D">
        <w:rPr>
          <w:rFonts w:ascii="Arial" w:hAnsi="Arial" w:cs="Arial"/>
          <w:sz w:val="24"/>
          <w:szCs w:val="24"/>
        </w:rPr>
        <w:t xml:space="preserve"> Para fins do disposto no § 3º, inciso I, do art. 166 da Constituição, serão consideradas incompatíveis com as diretrizes orçamentárias estabelecidas por esta Lei:</w:t>
      </w:r>
    </w:p>
    <w:p w14:paraId="35B6F94B"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 - as emendas que acarretem a aplicação de recursos abaixo dos limites constitucionais mínimos previstos para os gastos com a manutenção e desenvolvimento do ensino e com as ações e serviços públicos de saúde;</w:t>
      </w:r>
    </w:p>
    <w:p w14:paraId="47867F33"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 - as emendas que não preservem as dotações destinadas ao pagamento de sentenças judiciais;</w:t>
      </w:r>
    </w:p>
    <w:p w14:paraId="0DCA8FE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III – as emendas que reduzirem o montante de dotações suportadas por recursos oriundos de transferências legais ou voluntárias da União e do Estado, alienação de bens e operações de crédito;</w:t>
      </w:r>
    </w:p>
    <w:p w14:paraId="2EFFA2F4"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3º</w:t>
      </w:r>
      <w:r w:rsidRPr="00F4356D">
        <w:rPr>
          <w:rFonts w:ascii="Arial" w:hAnsi="Arial" w:cs="Arial"/>
          <w:sz w:val="24"/>
          <w:szCs w:val="24"/>
        </w:rPr>
        <w:t xml:space="preserve"> Para fins do disposto no art. 166, § 8º, da Constituição Federal, serão levados à reserva de contingência os recursos que, em decorrência de veto, emenda </w:t>
      </w:r>
      <w:r w:rsidRPr="00F4356D">
        <w:rPr>
          <w:rFonts w:ascii="Arial" w:hAnsi="Arial" w:cs="Arial"/>
          <w:sz w:val="24"/>
          <w:szCs w:val="24"/>
        </w:rPr>
        <w:lastRenderedPageBreak/>
        <w:t>ou rejeição do projeto da Lei Orçamentária Anual, ficarem sem despesas correspondentes.</w:t>
      </w:r>
      <w:bookmarkStart w:id="18" w:name="_Toc45524655"/>
    </w:p>
    <w:p w14:paraId="201B4528" w14:textId="77777777" w:rsidR="00F4356D" w:rsidRPr="00F4356D" w:rsidRDefault="00F4356D" w:rsidP="00F4356D">
      <w:pPr>
        <w:spacing w:line="276" w:lineRule="auto"/>
        <w:ind w:right="-710"/>
        <w:jc w:val="center"/>
        <w:rPr>
          <w:rFonts w:ascii="Arial" w:hAnsi="Arial" w:cs="Arial"/>
          <w:b/>
          <w:bCs/>
          <w:sz w:val="24"/>
          <w:szCs w:val="24"/>
        </w:rPr>
      </w:pPr>
    </w:p>
    <w:p w14:paraId="5138D331" w14:textId="77777777" w:rsidR="00F4356D" w:rsidRPr="00F4356D" w:rsidRDefault="00F4356D" w:rsidP="00F4356D">
      <w:pPr>
        <w:spacing w:line="276" w:lineRule="auto"/>
        <w:ind w:right="-710"/>
        <w:jc w:val="center"/>
        <w:rPr>
          <w:rFonts w:ascii="Arial" w:hAnsi="Arial" w:cs="Arial"/>
          <w:b/>
          <w:bCs/>
          <w:sz w:val="24"/>
          <w:szCs w:val="24"/>
        </w:rPr>
      </w:pPr>
    </w:p>
    <w:p w14:paraId="0C0AD978" w14:textId="77777777" w:rsidR="00F4356D" w:rsidRPr="00F4356D" w:rsidRDefault="00F4356D" w:rsidP="00F4356D">
      <w:pPr>
        <w:spacing w:line="276" w:lineRule="auto"/>
        <w:ind w:right="-710"/>
        <w:jc w:val="center"/>
        <w:rPr>
          <w:rFonts w:ascii="Arial" w:hAnsi="Arial" w:cs="Arial"/>
          <w:b/>
          <w:bCs/>
          <w:sz w:val="24"/>
          <w:szCs w:val="24"/>
        </w:rPr>
      </w:pPr>
    </w:p>
    <w:p w14:paraId="17457BD5" w14:textId="77777777" w:rsidR="00F4356D" w:rsidRPr="00F4356D" w:rsidRDefault="00F4356D" w:rsidP="00F4356D">
      <w:pPr>
        <w:spacing w:line="276" w:lineRule="auto"/>
        <w:ind w:right="-710"/>
        <w:jc w:val="center"/>
        <w:rPr>
          <w:rFonts w:ascii="Arial" w:hAnsi="Arial" w:cs="Arial"/>
          <w:b/>
          <w:bCs/>
          <w:sz w:val="24"/>
          <w:szCs w:val="24"/>
        </w:rPr>
      </w:pPr>
    </w:p>
    <w:p w14:paraId="5FAC466F" w14:textId="77777777" w:rsidR="00F4356D" w:rsidRPr="00F4356D" w:rsidRDefault="00F4356D" w:rsidP="00F4356D">
      <w:pPr>
        <w:spacing w:line="360" w:lineRule="auto"/>
        <w:ind w:right="-710"/>
        <w:jc w:val="center"/>
        <w:rPr>
          <w:rFonts w:ascii="Arial" w:hAnsi="Arial" w:cs="Arial"/>
          <w:b/>
          <w:bCs/>
          <w:sz w:val="24"/>
          <w:szCs w:val="24"/>
        </w:rPr>
      </w:pPr>
      <w:r w:rsidRPr="00F4356D">
        <w:rPr>
          <w:rFonts w:ascii="Arial" w:hAnsi="Arial" w:cs="Arial"/>
          <w:b/>
          <w:bCs/>
          <w:sz w:val="24"/>
          <w:szCs w:val="24"/>
        </w:rPr>
        <w:t>Subseção II - Do Regime de Aprovação e Execução das Emendas Individuais</w:t>
      </w:r>
      <w:bookmarkEnd w:id="18"/>
    </w:p>
    <w:p w14:paraId="6F170908"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33</w:t>
      </w:r>
      <w:r w:rsidRPr="00F4356D">
        <w:rPr>
          <w:rFonts w:ascii="Arial" w:hAnsi="Arial" w:cs="Arial"/>
          <w:sz w:val="24"/>
          <w:szCs w:val="24"/>
        </w:rPr>
        <w:t>. Sem prejuízo do disposto na Constituição Federal e na Lei Orgânica do Município, o regime de aprovação e execução das emendas individuais ao projeto de lei orçamentária atenderá ao disposto nesta subseção.</w:t>
      </w:r>
    </w:p>
    <w:p w14:paraId="61C269A5"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34</w:t>
      </w:r>
      <w:r w:rsidRPr="00F4356D">
        <w:rPr>
          <w:rFonts w:ascii="Arial" w:hAnsi="Arial" w:cs="Arial"/>
          <w:sz w:val="24"/>
          <w:szCs w:val="24"/>
        </w:rPr>
        <w:t>. É obrigatória a execução orçamentária e financeira, de forma equitativa, das programações decorrentes de emendas individuais aprovadas ao projeto de lei orçamentária, observado, na execução, o limite estabelecido no § 11 do art. 166 da Constituição.</w:t>
      </w:r>
    </w:p>
    <w:p w14:paraId="7A5BD4F3"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Considera-se equitativa a execução das programações que atenda, de forma objetiva, igualitária e impessoal, as emendas apresentadas, independentemente da autoria.</w:t>
      </w:r>
    </w:p>
    <w:p w14:paraId="300571B4"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2º</w:t>
      </w:r>
      <w:r w:rsidRPr="00F4356D">
        <w:rPr>
          <w:rFonts w:ascii="Arial" w:hAnsi="Arial" w:cs="Arial"/>
          <w:sz w:val="24"/>
          <w:szCs w:val="24"/>
        </w:rPr>
        <w:t xml:space="preserve"> Caso as emendas de que trata esta subseção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14:paraId="5BE7D0F1"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3º</w:t>
      </w:r>
      <w:r w:rsidRPr="00F4356D">
        <w:rPr>
          <w:rFonts w:ascii="Arial" w:hAnsi="Arial" w:cs="Arial"/>
          <w:sz w:val="24"/>
          <w:szCs w:val="24"/>
        </w:rPr>
        <w:t xml:space="preserve"> A obrigatoriedade de execução orçamentária e financeira de que trata o caput compreende, cumulativamente, o empenho, a liquidação da despesa e o respectivo pagamento.</w:t>
      </w:r>
    </w:p>
    <w:p w14:paraId="6747A37C"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4º</w:t>
      </w:r>
      <w:r w:rsidRPr="00F4356D">
        <w:rPr>
          <w:rFonts w:ascii="Arial" w:hAnsi="Arial" w:cs="Arial"/>
          <w:sz w:val="24"/>
          <w:szCs w:val="24"/>
        </w:rPr>
        <w:t xml:space="preserve"> Na ocorrência de situação que determine a limitação de empenhos e movimentação financeira nos termos do art. 20 desta Lei, a execução orçamentária das programações orçamentárias das emendas individuais poderá ser reduzida na mesma proporção.</w:t>
      </w:r>
    </w:p>
    <w:p w14:paraId="4257C881"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35</w:t>
      </w:r>
      <w:r w:rsidRPr="00F4356D">
        <w:rPr>
          <w:rFonts w:ascii="Arial" w:hAnsi="Arial" w:cs="Arial"/>
          <w:sz w:val="24"/>
          <w:szCs w:val="24"/>
        </w:rPr>
        <w:t>. Para fins de atendimento ao disposto nesta Subseção, o Projeto de Lei Orçamentária conterá reserva de contingência específica em valor equivalente 1,2% (um inteiro e dois décimos por cento) da receita corrente líquida estimada para o exercício, sendo 0,6% (seis décimos por cento) de recursos livres e 0,6% (seis décimos por cento) de recursos vinculados às ações e serviços públicos de saúde, a qual deverá ser indicada como fonte de recursos para a aprovação das emendas individuais.</w:t>
      </w:r>
    </w:p>
    <w:p w14:paraId="3CB3CB63"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Para fins de cálculo do valor da Receita Corrente Liquida de que trata o caput, considerar-se-á a metodologia estabelecida na Instrução Normativa nº 04/2021, do Tribunal de Contas do Estado ou a norma que lhe for superveniente.</w:t>
      </w:r>
    </w:p>
    <w:p w14:paraId="588E7C9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lastRenderedPageBreak/>
        <w:t>§ 2º</w:t>
      </w:r>
      <w:r w:rsidRPr="00F4356D">
        <w:rPr>
          <w:rFonts w:ascii="Arial" w:hAnsi="Arial" w:cs="Arial"/>
          <w:sz w:val="24"/>
          <w:szCs w:val="24"/>
        </w:rPr>
        <w:t xml:space="preserve"> O valor do limite para apresentação das emendas individuais por autor será obtido a partir da divisão do montante estabelecido no caput pelo número de vereadores com assento da Câmara Municipal.</w:t>
      </w:r>
    </w:p>
    <w:p w14:paraId="6D4E8EB6"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3º</w:t>
      </w:r>
      <w:r w:rsidRPr="00F4356D">
        <w:rPr>
          <w:rFonts w:ascii="Arial" w:hAnsi="Arial" w:cs="Arial"/>
          <w:sz w:val="24"/>
          <w:szCs w:val="24"/>
        </w:rPr>
        <w:t xml:space="preserve"> É vedada qualquer forma de cessão ou transferência entre vereadores ou entre bancadas, do limite individual de que trata o parágrafo anterior. </w:t>
      </w:r>
    </w:p>
    <w:p w14:paraId="79C5BE7F"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4º</w:t>
      </w:r>
      <w:r w:rsidRPr="00F4356D">
        <w:rPr>
          <w:rFonts w:ascii="Arial" w:hAnsi="Arial" w:cs="Arial"/>
          <w:sz w:val="24"/>
          <w:szCs w:val="24"/>
        </w:rPr>
        <w:t xml:space="preserve"> Não será obrigatória a execução orçamentária e financeira das emendas individuais do autor que desatender os critérios estabelecidos nesta subseção, sendo os recursos correspondentes revertidos à reserva de contingência, os quais poderão ser utilizados pelo Poder Executivo para a abertura de créditos adicionais.</w:t>
      </w:r>
      <w:bookmarkStart w:id="19" w:name="_Hlk11050548"/>
      <w:bookmarkEnd w:id="15"/>
    </w:p>
    <w:p w14:paraId="3229FB02" w14:textId="77777777" w:rsidR="00F4356D" w:rsidRPr="00F4356D" w:rsidRDefault="00F4356D" w:rsidP="00F4356D">
      <w:pPr>
        <w:autoSpaceDE w:val="0"/>
        <w:autoSpaceDN w:val="0"/>
        <w:adjustRightInd w:val="0"/>
        <w:spacing w:line="276" w:lineRule="auto"/>
        <w:ind w:right="-710"/>
        <w:jc w:val="both"/>
        <w:rPr>
          <w:rFonts w:ascii="Arial" w:hAnsi="Arial" w:cs="Arial"/>
          <w:sz w:val="24"/>
          <w:szCs w:val="24"/>
        </w:rPr>
      </w:pPr>
      <w:r w:rsidRPr="00F4356D">
        <w:rPr>
          <w:rFonts w:ascii="Arial" w:hAnsi="Arial" w:cs="Arial"/>
          <w:sz w:val="24"/>
          <w:szCs w:val="24"/>
        </w:rPr>
        <w:t xml:space="preserve"> </w:t>
      </w:r>
      <w:r w:rsidRPr="00F4356D">
        <w:rPr>
          <w:rFonts w:ascii="Arial" w:hAnsi="Arial" w:cs="Arial"/>
          <w:sz w:val="24"/>
          <w:szCs w:val="24"/>
        </w:rPr>
        <w:tab/>
      </w:r>
      <w:r w:rsidRPr="00F4356D">
        <w:rPr>
          <w:rFonts w:ascii="Arial" w:hAnsi="Arial" w:cs="Arial"/>
          <w:b/>
          <w:bCs/>
          <w:sz w:val="24"/>
          <w:szCs w:val="24"/>
        </w:rPr>
        <w:t>Art. 36</w:t>
      </w:r>
      <w:r w:rsidRPr="00F4356D">
        <w:rPr>
          <w:rFonts w:ascii="Arial" w:hAnsi="Arial" w:cs="Arial"/>
          <w:sz w:val="24"/>
          <w:szCs w:val="24"/>
        </w:rPr>
        <w:t>. Para fins do disposto no § 13 do art. 166 da Constituição, serão considerados impedimentos de ordem técnica quaisquer situações ou eventos de ordem fática ou legal situações que obstam ou suspendem a execução da programação orçamentária das emendas durante o exercício financeiro de 2022, em consonância com as regras e os princípios que regem a administração pública.</w:t>
      </w:r>
    </w:p>
    <w:p w14:paraId="0F8F52B9" w14:textId="77777777" w:rsidR="00F4356D" w:rsidRPr="00F4356D" w:rsidRDefault="00F4356D" w:rsidP="00F4356D">
      <w:pPr>
        <w:autoSpaceDE w:val="0"/>
        <w:autoSpaceDN w:val="0"/>
        <w:adjustRightInd w:val="0"/>
        <w:spacing w:line="276" w:lineRule="auto"/>
        <w:ind w:right="-710"/>
        <w:jc w:val="both"/>
        <w:rPr>
          <w:rFonts w:ascii="Arial" w:hAnsi="Arial" w:cs="Arial"/>
          <w:sz w:val="24"/>
          <w:szCs w:val="24"/>
        </w:rPr>
      </w:pPr>
    </w:p>
    <w:p w14:paraId="08653244"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Sem prejuízo de outros critérios e procedimentos adicionais que venham a ser estabelecidos em ato do Poder Executivo, são consideradas hipóteses de impedimentos de ordem técnica:</w:t>
      </w:r>
    </w:p>
    <w:p w14:paraId="2D4610E1" w14:textId="77777777" w:rsidR="00F4356D" w:rsidRPr="00F4356D" w:rsidRDefault="00F4356D" w:rsidP="00F4356D">
      <w:pPr>
        <w:spacing w:after="160" w:line="276" w:lineRule="auto"/>
        <w:ind w:right="-710"/>
        <w:jc w:val="both"/>
        <w:rPr>
          <w:rFonts w:ascii="Arial" w:hAnsi="Arial" w:cs="Arial"/>
          <w:sz w:val="24"/>
          <w:szCs w:val="24"/>
        </w:rPr>
      </w:pPr>
      <w:r w:rsidRPr="00F4356D">
        <w:rPr>
          <w:rFonts w:ascii="Arial" w:hAnsi="Arial" w:cs="Arial"/>
          <w:sz w:val="24"/>
          <w:szCs w:val="24"/>
        </w:rPr>
        <w:t xml:space="preserve"> </w:t>
      </w:r>
      <w:r w:rsidRPr="00F4356D">
        <w:rPr>
          <w:rFonts w:ascii="Arial" w:hAnsi="Arial" w:cs="Arial"/>
          <w:sz w:val="24"/>
          <w:szCs w:val="24"/>
        </w:rPr>
        <w:tab/>
        <w:t>I - não indicação, pelo autor da emenda individual, quando for o caso, do beneficiário e respectivo valor da emenda;</w:t>
      </w:r>
    </w:p>
    <w:p w14:paraId="740247B9" w14:textId="77777777" w:rsidR="00F4356D" w:rsidRPr="00F4356D" w:rsidRDefault="00F4356D" w:rsidP="00F4356D">
      <w:pPr>
        <w:spacing w:after="160" w:line="276" w:lineRule="auto"/>
        <w:ind w:right="-710"/>
        <w:jc w:val="both"/>
        <w:rPr>
          <w:rFonts w:ascii="Arial" w:hAnsi="Arial" w:cs="Arial"/>
          <w:sz w:val="24"/>
          <w:szCs w:val="24"/>
        </w:rPr>
      </w:pPr>
      <w:r w:rsidRPr="00F4356D">
        <w:rPr>
          <w:rFonts w:ascii="Arial" w:hAnsi="Arial" w:cs="Arial"/>
          <w:sz w:val="24"/>
          <w:szCs w:val="24"/>
        </w:rPr>
        <w:t xml:space="preserve"> </w:t>
      </w:r>
      <w:r w:rsidRPr="00F4356D">
        <w:rPr>
          <w:rFonts w:ascii="Arial" w:hAnsi="Arial" w:cs="Arial"/>
          <w:sz w:val="24"/>
          <w:szCs w:val="24"/>
        </w:rPr>
        <w:tab/>
        <w:t>II – não cumprimento pela entidade beneficiária, dos requisitos estabelecidos na Seção VII do Capítulo IV desta Lei, no caso de emendas que proponham transferências de recursos sob a forma de subvenções, auxílios ou contribuições;</w:t>
      </w:r>
    </w:p>
    <w:p w14:paraId="1686890F" w14:textId="77777777" w:rsidR="00F4356D" w:rsidRPr="00F4356D" w:rsidRDefault="00F4356D" w:rsidP="00F4356D">
      <w:pPr>
        <w:spacing w:after="160" w:line="276" w:lineRule="auto"/>
        <w:ind w:right="-710"/>
        <w:jc w:val="both"/>
        <w:rPr>
          <w:rFonts w:ascii="Arial" w:hAnsi="Arial" w:cs="Arial"/>
          <w:sz w:val="24"/>
          <w:szCs w:val="24"/>
        </w:rPr>
      </w:pPr>
      <w:r w:rsidRPr="00F4356D">
        <w:rPr>
          <w:rFonts w:ascii="Arial" w:hAnsi="Arial" w:cs="Arial"/>
          <w:sz w:val="24"/>
          <w:szCs w:val="24"/>
        </w:rPr>
        <w:t xml:space="preserve"> </w:t>
      </w:r>
      <w:r w:rsidRPr="00F4356D">
        <w:rPr>
          <w:rFonts w:ascii="Arial" w:hAnsi="Arial" w:cs="Arial"/>
          <w:sz w:val="24"/>
          <w:szCs w:val="24"/>
        </w:rPr>
        <w:tab/>
        <w:t xml:space="preserve">III </w:t>
      </w:r>
      <w:proofErr w:type="gramStart"/>
      <w:r w:rsidRPr="00F4356D">
        <w:rPr>
          <w:rFonts w:ascii="Arial" w:hAnsi="Arial" w:cs="Arial"/>
          <w:sz w:val="24"/>
          <w:szCs w:val="24"/>
        </w:rPr>
        <w:t>-  desistência</w:t>
      </w:r>
      <w:proofErr w:type="gramEnd"/>
      <w:r w:rsidRPr="00F4356D">
        <w:rPr>
          <w:rFonts w:ascii="Arial" w:hAnsi="Arial" w:cs="Arial"/>
          <w:sz w:val="24"/>
          <w:szCs w:val="24"/>
        </w:rPr>
        <w:t xml:space="preserve"> expressa do autor da emenda;</w:t>
      </w:r>
    </w:p>
    <w:p w14:paraId="4244B9E0" w14:textId="77777777" w:rsidR="00F4356D" w:rsidRPr="00F4356D" w:rsidRDefault="00F4356D" w:rsidP="00F4356D">
      <w:pPr>
        <w:spacing w:after="160" w:line="276" w:lineRule="auto"/>
        <w:ind w:right="-710"/>
        <w:jc w:val="both"/>
        <w:rPr>
          <w:rFonts w:ascii="Arial" w:hAnsi="Arial" w:cs="Arial"/>
          <w:sz w:val="24"/>
          <w:szCs w:val="24"/>
        </w:rPr>
      </w:pPr>
      <w:r w:rsidRPr="00F4356D">
        <w:rPr>
          <w:rFonts w:ascii="Arial" w:hAnsi="Arial" w:cs="Arial"/>
          <w:sz w:val="24"/>
          <w:szCs w:val="24"/>
        </w:rPr>
        <w:t xml:space="preserve"> </w:t>
      </w:r>
      <w:r w:rsidRPr="00F4356D">
        <w:rPr>
          <w:rFonts w:ascii="Arial" w:hAnsi="Arial" w:cs="Arial"/>
          <w:sz w:val="24"/>
          <w:szCs w:val="24"/>
        </w:rPr>
        <w:tab/>
        <w:t>IV - incompatibilidade do objeto da emenda com a finalidade do programa ou da ação orçamentária emendada;</w:t>
      </w:r>
    </w:p>
    <w:p w14:paraId="619B8D68" w14:textId="77777777" w:rsidR="00F4356D" w:rsidRPr="00F4356D" w:rsidRDefault="00F4356D" w:rsidP="00F4356D">
      <w:pPr>
        <w:spacing w:after="160" w:line="276" w:lineRule="auto"/>
        <w:ind w:right="-710"/>
        <w:jc w:val="both"/>
        <w:rPr>
          <w:rFonts w:ascii="Arial" w:hAnsi="Arial" w:cs="Arial"/>
          <w:sz w:val="24"/>
          <w:szCs w:val="24"/>
        </w:rPr>
      </w:pPr>
      <w:r w:rsidRPr="00F4356D">
        <w:rPr>
          <w:rFonts w:ascii="Arial" w:hAnsi="Arial" w:cs="Arial"/>
          <w:sz w:val="24"/>
          <w:szCs w:val="24"/>
        </w:rPr>
        <w:t xml:space="preserve"> </w:t>
      </w:r>
      <w:r w:rsidRPr="00F4356D">
        <w:rPr>
          <w:rFonts w:ascii="Arial" w:hAnsi="Arial" w:cs="Arial"/>
          <w:sz w:val="24"/>
          <w:szCs w:val="24"/>
        </w:rPr>
        <w:tab/>
        <w:t>V – no caso de emendas relativas à aquisição de equipamentos ou execução de obras ou instalações:</w:t>
      </w:r>
    </w:p>
    <w:p w14:paraId="278CB01D" w14:textId="77777777" w:rsidR="00F4356D" w:rsidRPr="00F4356D" w:rsidRDefault="00F4356D" w:rsidP="00F4356D">
      <w:pPr>
        <w:autoSpaceDE w:val="0"/>
        <w:autoSpaceDN w:val="0"/>
        <w:adjustRightInd w:val="0"/>
        <w:spacing w:line="276" w:lineRule="auto"/>
        <w:ind w:right="-710" w:firstLine="708"/>
        <w:jc w:val="both"/>
        <w:rPr>
          <w:rFonts w:ascii="Arial" w:hAnsi="Arial" w:cs="Arial"/>
          <w:sz w:val="24"/>
          <w:szCs w:val="24"/>
        </w:rPr>
      </w:pPr>
      <w:r w:rsidRPr="00F4356D">
        <w:rPr>
          <w:rFonts w:ascii="Arial" w:hAnsi="Arial" w:cs="Arial"/>
          <w:sz w:val="24"/>
          <w:szCs w:val="24"/>
        </w:rPr>
        <w:t xml:space="preserve"> a) incompatibilidade do valor proposto com o custo de aquisição dos insumos ou equipamentos ou, no caso de obras, com o cronograma físico financeiro de execução do projeto que permita, no mínimo, a conclusão de etapa útil com funcionalidade que permita o usufruto dos benefícios pela sociedade;</w:t>
      </w:r>
    </w:p>
    <w:p w14:paraId="5B4D2080" w14:textId="77777777" w:rsidR="00F4356D" w:rsidRPr="00F4356D" w:rsidRDefault="00F4356D" w:rsidP="00F4356D">
      <w:pPr>
        <w:autoSpaceDE w:val="0"/>
        <w:autoSpaceDN w:val="0"/>
        <w:adjustRightInd w:val="0"/>
        <w:spacing w:line="276" w:lineRule="auto"/>
        <w:ind w:right="-710"/>
        <w:jc w:val="both"/>
        <w:rPr>
          <w:rFonts w:ascii="Arial" w:hAnsi="Arial" w:cs="Arial"/>
          <w:sz w:val="24"/>
          <w:szCs w:val="24"/>
        </w:rPr>
      </w:pPr>
      <w:r w:rsidRPr="00F4356D">
        <w:rPr>
          <w:rFonts w:ascii="Arial" w:hAnsi="Arial" w:cs="Arial"/>
          <w:sz w:val="24"/>
          <w:szCs w:val="24"/>
        </w:rPr>
        <w:t xml:space="preserve"> </w:t>
      </w:r>
      <w:r w:rsidRPr="00F4356D">
        <w:rPr>
          <w:rFonts w:ascii="Arial" w:hAnsi="Arial" w:cs="Arial"/>
          <w:sz w:val="24"/>
          <w:szCs w:val="24"/>
        </w:rPr>
        <w:tab/>
        <w:t xml:space="preserve"> b) ausência de projeto de engenharia aprovado pelo órgão responsável, nos casos em que for necessário;</w:t>
      </w:r>
    </w:p>
    <w:p w14:paraId="38E4B1C8" w14:textId="77777777" w:rsidR="00F4356D" w:rsidRPr="00F4356D" w:rsidRDefault="00F4356D" w:rsidP="00F4356D">
      <w:pPr>
        <w:autoSpaceDE w:val="0"/>
        <w:autoSpaceDN w:val="0"/>
        <w:adjustRightInd w:val="0"/>
        <w:spacing w:line="276" w:lineRule="auto"/>
        <w:ind w:right="-710"/>
        <w:jc w:val="both"/>
        <w:rPr>
          <w:rFonts w:ascii="Arial" w:hAnsi="Arial" w:cs="Arial"/>
          <w:sz w:val="24"/>
          <w:szCs w:val="24"/>
        </w:rPr>
      </w:pPr>
      <w:r w:rsidRPr="00F4356D">
        <w:rPr>
          <w:rFonts w:ascii="Arial" w:hAnsi="Arial" w:cs="Arial"/>
          <w:sz w:val="24"/>
          <w:szCs w:val="24"/>
        </w:rPr>
        <w:tab/>
        <w:t>c) a ausência de licença ambiental prévia, nos casos em que for necessária;</w:t>
      </w:r>
    </w:p>
    <w:p w14:paraId="388512FC" w14:textId="77777777" w:rsidR="00F4356D" w:rsidRPr="00F4356D" w:rsidRDefault="00F4356D" w:rsidP="00F4356D">
      <w:pPr>
        <w:autoSpaceDE w:val="0"/>
        <w:autoSpaceDN w:val="0"/>
        <w:adjustRightInd w:val="0"/>
        <w:spacing w:line="276" w:lineRule="auto"/>
        <w:ind w:right="-710"/>
        <w:jc w:val="both"/>
        <w:rPr>
          <w:rFonts w:ascii="Arial" w:hAnsi="Arial" w:cs="Arial"/>
          <w:sz w:val="24"/>
          <w:szCs w:val="24"/>
        </w:rPr>
      </w:pPr>
      <w:r w:rsidRPr="00F4356D">
        <w:rPr>
          <w:rFonts w:ascii="Arial" w:hAnsi="Arial" w:cs="Arial"/>
          <w:sz w:val="24"/>
          <w:szCs w:val="24"/>
        </w:rPr>
        <w:tab/>
        <w:t>d) não comprovação, por parte do órgão ou entidade beneficiada pela emenda, da capacidade de aportar recursos para manutenção e operação do empreendimento, após a sua conclusão;</w:t>
      </w:r>
    </w:p>
    <w:p w14:paraId="64361267" w14:textId="77777777" w:rsidR="00F4356D" w:rsidRPr="00F4356D" w:rsidRDefault="00F4356D" w:rsidP="00F4356D">
      <w:pPr>
        <w:spacing w:after="160" w:line="276" w:lineRule="auto"/>
        <w:ind w:right="-710"/>
        <w:jc w:val="both"/>
        <w:rPr>
          <w:rFonts w:ascii="Arial" w:hAnsi="Arial" w:cs="Arial"/>
          <w:sz w:val="24"/>
          <w:szCs w:val="24"/>
        </w:rPr>
      </w:pPr>
      <w:r w:rsidRPr="00F4356D">
        <w:rPr>
          <w:rFonts w:ascii="Arial" w:hAnsi="Arial" w:cs="Arial"/>
          <w:sz w:val="24"/>
          <w:szCs w:val="24"/>
        </w:rPr>
        <w:t xml:space="preserve"> </w:t>
      </w:r>
      <w:r w:rsidRPr="00F4356D">
        <w:rPr>
          <w:rFonts w:ascii="Arial" w:hAnsi="Arial" w:cs="Arial"/>
          <w:sz w:val="24"/>
          <w:szCs w:val="24"/>
        </w:rPr>
        <w:tab/>
        <w:t xml:space="preserve"> VI – a aprovação de emenda individual que conceda dotação para instalação ou funcionamento de serviço público que não esteja anteriormente criado por Lei, ou </w:t>
      </w:r>
      <w:r w:rsidRPr="00F4356D">
        <w:rPr>
          <w:rFonts w:ascii="Arial" w:hAnsi="Arial" w:cs="Arial"/>
          <w:sz w:val="24"/>
          <w:szCs w:val="24"/>
        </w:rPr>
        <w:lastRenderedPageBreak/>
        <w:t xml:space="preserve">que implique na criação de despesa obrigatória de caráter continuado, nos termos do art. 17, da Lei Complementar nº 101//2000; </w:t>
      </w:r>
    </w:p>
    <w:p w14:paraId="096CF6DA" w14:textId="77777777" w:rsidR="00F4356D" w:rsidRPr="00F4356D" w:rsidRDefault="00F4356D" w:rsidP="00F4356D">
      <w:pPr>
        <w:spacing w:after="160" w:line="276" w:lineRule="auto"/>
        <w:ind w:right="-710"/>
        <w:jc w:val="both"/>
        <w:rPr>
          <w:rFonts w:ascii="Arial" w:hAnsi="Arial" w:cs="Arial"/>
          <w:sz w:val="24"/>
          <w:szCs w:val="24"/>
        </w:rPr>
      </w:pPr>
      <w:r w:rsidRPr="00F4356D">
        <w:rPr>
          <w:rFonts w:ascii="Arial" w:hAnsi="Arial" w:cs="Arial"/>
          <w:sz w:val="24"/>
          <w:szCs w:val="24"/>
        </w:rPr>
        <w:t xml:space="preserve"> </w:t>
      </w:r>
      <w:r w:rsidRPr="00F4356D">
        <w:rPr>
          <w:rFonts w:ascii="Arial" w:hAnsi="Arial" w:cs="Arial"/>
          <w:sz w:val="24"/>
          <w:szCs w:val="24"/>
        </w:rPr>
        <w:tab/>
        <w:t>VII – a não indicação, pelo autor, da Reserva de Contingência referida no art. 35 desta Lei como fonte de recursos para as emendas individuais;</w:t>
      </w:r>
    </w:p>
    <w:p w14:paraId="3446BF38" w14:textId="77777777" w:rsidR="00F4356D" w:rsidRPr="00F4356D" w:rsidRDefault="00F4356D" w:rsidP="00F4356D">
      <w:pPr>
        <w:autoSpaceDE w:val="0"/>
        <w:autoSpaceDN w:val="0"/>
        <w:adjustRightInd w:val="0"/>
        <w:spacing w:line="276" w:lineRule="auto"/>
        <w:ind w:right="-710"/>
        <w:jc w:val="both"/>
        <w:rPr>
          <w:rFonts w:ascii="Arial" w:hAnsi="Arial" w:cs="Arial"/>
          <w:color w:val="000000"/>
          <w:sz w:val="24"/>
          <w:szCs w:val="24"/>
        </w:rPr>
      </w:pPr>
      <w:r w:rsidRPr="00F4356D">
        <w:rPr>
          <w:rFonts w:ascii="Arial" w:hAnsi="Arial" w:cs="Arial"/>
          <w:sz w:val="24"/>
          <w:szCs w:val="24"/>
        </w:rPr>
        <w:t xml:space="preserve"> </w:t>
      </w:r>
      <w:r w:rsidRPr="00F4356D">
        <w:rPr>
          <w:rFonts w:ascii="Arial" w:hAnsi="Arial" w:cs="Arial"/>
          <w:sz w:val="24"/>
          <w:szCs w:val="24"/>
        </w:rPr>
        <w:tab/>
      </w:r>
      <w:r w:rsidRPr="00F4356D">
        <w:rPr>
          <w:rFonts w:ascii="Arial" w:hAnsi="Arial" w:cs="Arial"/>
          <w:b/>
          <w:bCs/>
          <w:sz w:val="24"/>
          <w:szCs w:val="24"/>
        </w:rPr>
        <w:t>§ 2º</w:t>
      </w:r>
      <w:r w:rsidRPr="00F4356D">
        <w:rPr>
          <w:rFonts w:ascii="Arial" w:hAnsi="Arial" w:cs="Arial"/>
          <w:sz w:val="24"/>
          <w:szCs w:val="24"/>
        </w:rPr>
        <w:t xml:space="preserve"> Em atendimento ao disposto no § 14 do art. 166 da Constituição, com o fim de viabilizar a execução das programações incluídas por emendas individuais, até 30 dias após a publicação da Lei Orçamentária, o Poder Executivo estabelecerá, em decreto, o </w:t>
      </w:r>
      <w:r w:rsidRPr="00F4356D">
        <w:rPr>
          <w:rFonts w:ascii="Arial" w:hAnsi="Arial" w:cs="Arial"/>
          <w:color w:val="000000"/>
          <w:sz w:val="24"/>
          <w:szCs w:val="24"/>
        </w:rPr>
        <w:t>cronograma para análise e verificação de eventuais impedimentos das programações e demais procedimentos necessários à viabilização da execução das emendas de que trata esta subseção.</w:t>
      </w:r>
    </w:p>
    <w:p w14:paraId="19229FC3" w14:textId="77777777" w:rsidR="00F4356D" w:rsidRPr="00F4356D" w:rsidRDefault="00F4356D" w:rsidP="00F4356D">
      <w:pPr>
        <w:spacing w:after="160" w:line="276" w:lineRule="auto"/>
        <w:ind w:right="-710"/>
        <w:jc w:val="both"/>
        <w:rPr>
          <w:rFonts w:ascii="Arial" w:hAnsi="Arial" w:cs="Arial"/>
          <w:sz w:val="24"/>
          <w:szCs w:val="24"/>
        </w:rPr>
      </w:pPr>
      <w:r w:rsidRPr="00F4356D">
        <w:rPr>
          <w:rFonts w:ascii="Arial" w:hAnsi="Arial" w:cs="Arial"/>
          <w:sz w:val="24"/>
          <w:szCs w:val="24"/>
        </w:rPr>
        <w:t xml:space="preserve"> </w:t>
      </w:r>
      <w:r w:rsidRPr="00F4356D">
        <w:rPr>
          <w:rFonts w:ascii="Arial" w:hAnsi="Arial" w:cs="Arial"/>
          <w:sz w:val="24"/>
          <w:szCs w:val="24"/>
        </w:rPr>
        <w:tab/>
      </w:r>
      <w:r w:rsidRPr="00F4356D">
        <w:rPr>
          <w:rFonts w:ascii="Arial" w:hAnsi="Arial" w:cs="Arial"/>
          <w:b/>
          <w:bCs/>
          <w:sz w:val="24"/>
          <w:szCs w:val="24"/>
        </w:rPr>
        <w:t>§ 3º</w:t>
      </w:r>
      <w:r w:rsidRPr="00F4356D">
        <w:rPr>
          <w:rFonts w:ascii="Arial" w:hAnsi="Arial" w:cs="Arial"/>
          <w:sz w:val="24"/>
          <w:szCs w:val="24"/>
        </w:rPr>
        <w:t xml:space="preserve"> As dotações orçamentárias relativas às emendas individuais que permanecerem com impedimento técnico após 20 de novembro de 2022 poderão ser utilizadas pelo Poder Executivo como fonte de recursos para a abertura de créditos adicionais, na forma da Lei Federal nº 4.320/1964.</w:t>
      </w:r>
    </w:p>
    <w:p w14:paraId="6057BC34" w14:textId="77777777" w:rsidR="00F4356D" w:rsidRPr="00F4356D" w:rsidRDefault="00F4356D" w:rsidP="00F4356D">
      <w:pPr>
        <w:autoSpaceDE w:val="0"/>
        <w:autoSpaceDN w:val="0"/>
        <w:adjustRightInd w:val="0"/>
        <w:spacing w:line="276" w:lineRule="auto"/>
        <w:ind w:right="-710"/>
        <w:jc w:val="both"/>
        <w:rPr>
          <w:rFonts w:ascii="Arial" w:hAnsi="Arial" w:cs="Arial"/>
          <w:sz w:val="24"/>
          <w:szCs w:val="24"/>
        </w:rPr>
      </w:pPr>
      <w:r w:rsidRPr="00F4356D">
        <w:rPr>
          <w:rFonts w:ascii="Arial" w:hAnsi="Arial" w:cs="Arial"/>
          <w:sz w:val="24"/>
          <w:szCs w:val="24"/>
        </w:rPr>
        <w:t xml:space="preserve"> </w:t>
      </w:r>
      <w:r w:rsidRPr="00F4356D">
        <w:rPr>
          <w:rFonts w:ascii="Arial" w:hAnsi="Arial" w:cs="Arial"/>
          <w:sz w:val="24"/>
          <w:szCs w:val="24"/>
        </w:rPr>
        <w:tab/>
        <w:t xml:space="preserve"> </w:t>
      </w:r>
      <w:r w:rsidRPr="00F4356D">
        <w:rPr>
          <w:rFonts w:ascii="Arial" w:hAnsi="Arial" w:cs="Arial"/>
          <w:b/>
          <w:bCs/>
          <w:sz w:val="24"/>
          <w:szCs w:val="24"/>
        </w:rPr>
        <w:t>§ 4º</w:t>
      </w:r>
      <w:r w:rsidRPr="00F4356D">
        <w:rPr>
          <w:rFonts w:ascii="Arial" w:hAnsi="Arial" w:cs="Arial"/>
          <w:sz w:val="24"/>
          <w:szCs w:val="24"/>
        </w:rPr>
        <w:t xml:space="preserve"> As justificativas para a inexecução das programações orçamentárias das emendas individuais comporão o relatório de avaliação das metas fiscais do último quadrimestre do exercício, a ser apresentado em audiência pública na forma do art. 25 desta Lei.</w:t>
      </w:r>
      <w:bookmarkStart w:id="20" w:name="_Hlk11050588"/>
      <w:bookmarkEnd w:id="19"/>
    </w:p>
    <w:p w14:paraId="20DBF1DB" w14:textId="77777777" w:rsidR="00F4356D" w:rsidRPr="00F4356D" w:rsidRDefault="00F4356D" w:rsidP="00F4356D">
      <w:pPr>
        <w:spacing w:line="276" w:lineRule="auto"/>
        <w:ind w:right="-710" w:firstLine="708"/>
        <w:jc w:val="both"/>
        <w:rPr>
          <w:rFonts w:ascii="Arial" w:hAnsi="Arial" w:cs="Arial"/>
          <w:sz w:val="24"/>
          <w:szCs w:val="24"/>
        </w:rPr>
      </w:pPr>
      <w:r w:rsidRPr="00F4356D">
        <w:rPr>
          <w:rFonts w:ascii="Arial" w:hAnsi="Arial" w:cs="Arial"/>
          <w:b/>
          <w:bCs/>
          <w:sz w:val="24"/>
          <w:szCs w:val="24"/>
        </w:rPr>
        <w:t>Art. 37.</w:t>
      </w:r>
      <w:r w:rsidRPr="00F4356D">
        <w:rPr>
          <w:rFonts w:ascii="Arial" w:hAnsi="Arial" w:cs="Arial"/>
          <w:sz w:val="24"/>
          <w:szCs w:val="24"/>
        </w:rPr>
        <w:t xml:space="preserve">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bookmarkEnd w:id="20"/>
    <w:p w14:paraId="30DA25AB" w14:textId="77777777" w:rsidR="00F4356D" w:rsidRPr="00F4356D" w:rsidRDefault="00F4356D" w:rsidP="00F4356D">
      <w:pPr>
        <w:autoSpaceDE w:val="0"/>
        <w:autoSpaceDN w:val="0"/>
        <w:adjustRightInd w:val="0"/>
        <w:spacing w:line="276" w:lineRule="auto"/>
        <w:ind w:right="-710"/>
        <w:jc w:val="both"/>
        <w:rPr>
          <w:rFonts w:ascii="Arial" w:hAnsi="Arial" w:cs="Arial"/>
          <w:sz w:val="24"/>
          <w:szCs w:val="24"/>
        </w:rPr>
      </w:pPr>
      <w:r w:rsidRPr="00F4356D">
        <w:rPr>
          <w:rFonts w:ascii="Arial" w:hAnsi="Arial" w:cs="Arial"/>
          <w:sz w:val="24"/>
          <w:szCs w:val="24"/>
        </w:rPr>
        <w:t xml:space="preserve"> </w:t>
      </w:r>
      <w:r w:rsidRPr="00F4356D">
        <w:rPr>
          <w:rFonts w:ascii="Arial" w:hAnsi="Arial" w:cs="Arial"/>
          <w:sz w:val="24"/>
          <w:szCs w:val="24"/>
        </w:rPr>
        <w:tab/>
      </w:r>
      <w:r w:rsidRPr="00F4356D">
        <w:rPr>
          <w:rFonts w:ascii="Arial" w:hAnsi="Arial" w:cs="Arial"/>
          <w:b/>
          <w:bCs/>
          <w:sz w:val="24"/>
          <w:szCs w:val="24"/>
        </w:rPr>
        <w:t>Parágrafo único</w:t>
      </w:r>
      <w:r w:rsidRPr="00F4356D">
        <w:rPr>
          <w:rFonts w:ascii="Arial" w:hAnsi="Arial" w:cs="Arial"/>
          <w:sz w:val="24"/>
          <w:szCs w:val="24"/>
        </w:rPr>
        <w:t>.  Os relatórios referidos no caput deste artigo, deverão detalhar, no mínimo, a relação das emendas individuais aprovadas, o autor, a classificação funcional e programática, a ação orçamentária, bem como os respectivos valores aprovados e executados.</w:t>
      </w:r>
    </w:p>
    <w:p w14:paraId="3BE3D30F" w14:textId="77777777" w:rsidR="00F4356D" w:rsidRPr="00F4356D" w:rsidRDefault="00F4356D" w:rsidP="00F4356D">
      <w:pPr>
        <w:spacing w:line="276" w:lineRule="auto"/>
        <w:ind w:right="-710"/>
        <w:rPr>
          <w:rFonts w:ascii="Arial" w:hAnsi="Arial" w:cs="Arial"/>
          <w:b/>
          <w:bCs/>
          <w:sz w:val="24"/>
          <w:szCs w:val="24"/>
        </w:rPr>
      </w:pPr>
      <w:bookmarkStart w:id="21" w:name="_Toc515609483"/>
      <w:bookmarkStart w:id="22" w:name="_Toc45524656"/>
    </w:p>
    <w:p w14:paraId="2E24BA4C" w14:textId="77777777" w:rsidR="00F4356D" w:rsidRPr="00F4356D" w:rsidRDefault="00F4356D" w:rsidP="00F4356D">
      <w:pPr>
        <w:spacing w:line="276" w:lineRule="auto"/>
        <w:ind w:right="-710"/>
        <w:jc w:val="center"/>
        <w:rPr>
          <w:rFonts w:ascii="Arial" w:hAnsi="Arial" w:cs="Arial"/>
          <w:b/>
          <w:bCs/>
          <w:sz w:val="24"/>
          <w:szCs w:val="24"/>
        </w:rPr>
      </w:pPr>
      <w:r w:rsidRPr="00F4356D">
        <w:rPr>
          <w:rFonts w:ascii="Arial" w:hAnsi="Arial" w:cs="Arial"/>
          <w:b/>
          <w:bCs/>
          <w:sz w:val="24"/>
          <w:szCs w:val="24"/>
        </w:rPr>
        <w:t>Seção VII - Da Destinação de Recursos Públicos a Pessoas Físicas e Jurídicas</w:t>
      </w:r>
      <w:bookmarkEnd w:id="21"/>
      <w:bookmarkEnd w:id="22"/>
    </w:p>
    <w:p w14:paraId="520BB2E6" w14:textId="77777777" w:rsidR="00F4356D" w:rsidRPr="00F4356D" w:rsidRDefault="00F4356D" w:rsidP="00F4356D">
      <w:pPr>
        <w:spacing w:line="276" w:lineRule="auto"/>
        <w:ind w:right="-710"/>
        <w:jc w:val="center"/>
        <w:rPr>
          <w:rFonts w:ascii="Arial" w:hAnsi="Arial" w:cs="Arial"/>
          <w:b/>
          <w:bCs/>
          <w:sz w:val="24"/>
          <w:szCs w:val="24"/>
        </w:rPr>
      </w:pPr>
      <w:bookmarkStart w:id="23" w:name="_Toc45524657"/>
      <w:r w:rsidRPr="00F4356D">
        <w:rPr>
          <w:rFonts w:ascii="Arial" w:hAnsi="Arial" w:cs="Arial"/>
          <w:b/>
          <w:bCs/>
          <w:sz w:val="24"/>
          <w:szCs w:val="24"/>
        </w:rPr>
        <w:t>Subseção I - Das Subvenções Econômicas</w:t>
      </w:r>
      <w:bookmarkEnd w:id="23"/>
    </w:p>
    <w:p w14:paraId="25DB11B9" w14:textId="77777777" w:rsidR="00F4356D" w:rsidRPr="00F4356D" w:rsidRDefault="00F4356D" w:rsidP="00F4356D">
      <w:pPr>
        <w:spacing w:line="276" w:lineRule="auto"/>
        <w:ind w:right="-710"/>
        <w:jc w:val="center"/>
        <w:rPr>
          <w:rFonts w:ascii="Arial" w:hAnsi="Arial" w:cs="Arial"/>
          <w:b/>
          <w:bCs/>
          <w:sz w:val="24"/>
          <w:szCs w:val="24"/>
        </w:rPr>
      </w:pPr>
    </w:p>
    <w:p w14:paraId="6043BCD3"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38.</w:t>
      </w:r>
      <w:r w:rsidRPr="00F4356D">
        <w:rPr>
          <w:rFonts w:ascii="Arial" w:hAnsi="Arial" w:cs="Arial"/>
          <w:sz w:val="24"/>
          <w:szCs w:val="24"/>
        </w:rPr>
        <w:t xml:space="preserve">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F4356D">
        <w:rPr>
          <w:rFonts w:ascii="Arial" w:hAnsi="Arial" w:cs="Arial"/>
          <w:sz w:val="24"/>
          <w:szCs w:val="24"/>
          <w:u w:val="single"/>
          <w:vertAlign w:val="superscript"/>
        </w:rPr>
        <w:t>o</w:t>
      </w:r>
      <w:r w:rsidRPr="00F4356D">
        <w:rPr>
          <w:rFonts w:ascii="Arial" w:hAnsi="Arial" w:cs="Arial"/>
          <w:sz w:val="24"/>
          <w:szCs w:val="24"/>
        </w:rPr>
        <w:t> 101/2000.</w:t>
      </w:r>
    </w:p>
    <w:p w14:paraId="21AFC398"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w:t>
      </w:r>
      <w:r w:rsidRPr="00F4356D">
        <w:rPr>
          <w:rFonts w:ascii="Arial" w:hAnsi="Arial" w:cs="Arial"/>
          <w:b/>
          <w:bCs/>
          <w:sz w:val="24"/>
          <w:szCs w:val="24"/>
          <w:u w:val="single"/>
          <w:vertAlign w:val="superscript"/>
        </w:rPr>
        <w:t>o</w:t>
      </w:r>
      <w:r w:rsidRPr="00F4356D">
        <w:rPr>
          <w:rFonts w:ascii="Arial" w:hAnsi="Arial" w:cs="Arial"/>
          <w:sz w:val="24"/>
          <w:szCs w:val="24"/>
        </w:rPr>
        <w:t xml:space="preserve"> Em atendimento ao disposto no art. 19 da Lei Federal n</w:t>
      </w:r>
      <w:r w:rsidRPr="00F4356D">
        <w:rPr>
          <w:rFonts w:ascii="Arial" w:hAnsi="Arial" w:cs="Arial"/>
          <w:sz w:val="24"/>
          <w:szCs w:val="24"/>
          <w:u w:val="single"/>
          <w:vertAlign w:val="superscript"/>
        </w:rPr>
        <w:t>o</w:t>
      </w:r>
      <w:r w:rsidRPr="00F4356D">
        <w:rPr>
          <w:rFonts w:ascii="Arial" w:hAnsi="Arial" w:cs="Arial"/>
          <w:sz w:val="24"/>
          <w:szCs w:val="24"/>
        </w:rPr>
        <w:t xml:space="preserve"> 4.320/1964, a destinação de recursos às entidades privadas com fins lucrativos de que trata o </w:t>
      </w:r>
      <w:r w:rsidRPr="00F4356D">
        <w:rPr>
          <w:rFonts w:ascii="Arial" w:hAnsi="Arial" w:cs="Arial"/>
          <w:i/>
          <w:sz w:val="24"/>
          <w:szCs w:val="24"/>
        </w:rPr>
        <w:t>caput</w:t>
      </w:r>
      <w:r w:rsidRPr="00F4356D">
        <w:rPr>
          <w:rFonts w:ascii="Arial" w:hAnsi="Arial" w:cs="Arial"/>
          <w:sz w:val="24"/>
          <w:szCs w:val="24"/>
        </w:rPr>
        <w:t xml:space="preserve"> somente poderá ocorrer por meio de subvenções econômicas, sendo vedada a transferência a título de contribuições ou auxílios para despesas de capital.</w:t>
      </w:r>
    </w:p>
    <w:p w14:paraId="6EEF68FF"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b/>
          <w:bCs/>
          <w:sz w:val="24"/>
          <w:szCs w:val="24"/>
        </w:rPr>
        <w:t>§ 2</w:t>
      </w:r>
      <w:r w:rsidRPr="00F4356D">
        <w:rPr>
          <w:rFonts w:ascii="Arial" w:hAnsi="Arial" w:cs="Arial"/>
          <w:b/>
          <w:bCs/>
          <w:sz w:val="24"/>
          <w:szCs w:val="24"/>
          <w:u w:val="single"/>
          <w:vertAlign w:val="superscript"/>
        </w:rPr>
        <w:t>o</w:t>
      </w:r>
      <w:r w:rsidRPr="00F4356D">
        <w:rPr>
          <w:rFonts w:ascii="Arial" w:hAnsi="Arial" w:cs="Arial"/>
          <w:sz w:val="24"/>
          <w:szCs w:val="24"/>
        </w:rPr>
        <w:t xml:space="preserve"> As transferências a entidades privadas com fins lucrativos de que trata o “caput” deste artigo, serão executadas </w:t>
      </w:r>
      <w:r w:rsidRPr="00F4356D">
        <w:rPr>
          <w:rFonts w:ascii="Arial" w:hAnsi="Arial" w:cs="Arial"/>
          <w:snapToGrid w:val="0"/>
          <w:sz w:val="24"/>
          <w:szCs w:val="24"/>
        </w:rPr>
        <w:t>na modalidade de aplicação “60 – Transferências a Instituições Privadas com fins lucrativos” e no elemento de despesa “45 – Subvenções Econômicas”.</w:t>
      </w:r>
    </w:p>
    <w:p w14:paraId="719BE31D"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b/>
          <w:bCs/>
          <w:snapToGrid w:val="0"/>
          <w:sz w:val="24"/>
          <w:szCs w:val="24"/>
        </w:rPr>
        <w:lastRenderedPageBreak/>
        <w:t>Art. 39.</w:t>
      </w:r>
      <w:r w:rsidRPr="00F4356D">
        <w:rPr>
          <w:rFonts w:ascii="Arial" w:hAnsi="Arial" w:cs="Arial"/>
          <w:snapToGrid w:val="0"/>
          <w:sz w:val="24"/>
          <w:szCs w:val="24"/>
        </w:rPr>
        <w:t xml:space="preserve"> </w:t>
      </w:r>
      <w:r w:rsidRPr="00F4356D">
        <w:rPr>
          <w:rFonts w:ascii="Arial" w:hAnsi="Arial" w:cs="Arial"/>
          <w:sz w:val="24"/>
          <w:szCs w:val="24"/>
        </w:rPr>
        <w:t xml:space="preserve">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w:t>
      </w:r>
      <w:r w:rsidRPr="00F4356D">
        <w:rPr>
          <w:rFonts w:ascii="Arial" w:hAnsi="Arial" w:cs="Arial"/>
          <w:snapToGrid w:val="0"/>
          <w:sz w:val="24"/>
          <w:szCs w:val="24"/>
        </w:rPr>
        <w:t>na modalidade de aplicação “90 – Aplicações Diretas” e no elemento de despesa “48 – Outros Auxílios Financeiros a Pessoas Físicas”.</w:t>
      </w:r>
    </w:p>
    <w:p w14:paraId="0464BFB5" w14:textId="77777777" w:rsidR="00F4356D" w:rsidRPr="00F4356D" w:rsidRDefault="00F4356D" w:rsidP="00F4356D">
      <w:pPr>
        <w:spacing w:line="276" w:lineRule="auto"/>
        <w:ind w:right="-710"/>
        <w:jc w:val="center"/>
        <w:rPr>
          <w:rFonts w:ascii="Arial" w:hAnsi="Arial" w:cs="Arial"/>
          <w:b/>
          <w:bCs/>
          <w:sz w:val="24"/>
          <w:szCs w:val="24"/>
        </w:rPr>
      </w:pPr>
      <w:bookmarkStart w:id="24" w:name="_Toc45524658"/>
      <w:r w:rsidRPr="00F4356D">
        <w:rPr>
          <w:rFonts w:ascii="Arial" w:hAnsi="Arial" w:cs="Arial"/>
          <w:b/>
          <w:bCs/>
          <w:sz w:val="24"/>
          <w:szCs w:val="24"/>
        </w:rPr>
        <w:t>Subseção II - Das Subvenções Sociais</w:t>
      </w:r>
      <w:bookmarkEnd w:id="24"/>
    </w:p>
    <w:p w14:paraId="281B3316" w14:textId="77777777" w:rsidR="00F4356D" w:rsidRPr="00F4356D" w:rsidRDefault="00F4356D" w:rsidP="00F4356D">
      <w:pPr>
        <w:spacing w:line="276" w:lineRule="auto"/>
        <w:ind w:right="-710"/>
        <w:jc w:val="center"/>
        <w:rPr>
          <w:rFonts w:ascii="Arial" w:hAnsi="Arial" w:cs="Arial"/>
          <w:b/>
          <w:bCs/>
          <w:sz w:val="24"/>
          <w:szCs w:val="24"/>
        </w:rPr>
      </w:pPr>
    </w:p>
    <w:p w14:paraId="36838C8A"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40</w:t>
      </w:r>
      <w:r w:rsidRPr="00F4356D">
        <w:rPr>
          <w:rFonts w:ascii="Arial" w:hAnsi="Arial" w:cs="Arial"/>
          <w:sz w:val="24"/>
          <w:szCs w:val="24"/>
        </w:rPr>
        <w:t>. A transferência de recursos a título de subvenções sociais, nos termos dos artigos. 12, § 3º, I, 16 e 17 da Lei Federal n</w:t>
      </w:r>
      <w:r w:rsidRPr="00F4356D">
        <w:rPr>
          <w:rFonts w:ascii="Arial" w:hAnsi="Arial" w:cs="Arial"/>
          <w:sz w:val="24"/>
          <w:szCs w:val="24"/>
          <w:u w:val="single"/>
          <w:vertAlign w:val="superscript"/>
        </w:rPr>
        <w:t>o</w:t>
      </w:r>
      <w:r w:rsidRPr="00F4356D">
        <w:rPr>
          <w:rFonts w:ascii="Arial" w:hAnsi="Arial" w:cs="Arial"/>
          <w:sz w:val="24"/>
          <w:szCs w:val="24"/>
        </w:rPr>
        <w:t xml:space="preserve"> 4.320/1964, atenderá às entidades privadas sem fins lucrativos que exerçam atividades de natureza continuada nas áreas de cultura, assistência social, saúde e educação.</w:t>
      </w:r>
    </w:p>
    <w:p w14:paraId="6FB350CA"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Parágrafo único</w:t>
      </w:r>
      <w:r w:rsidRPr="00F4356D">
        <w:rPr>
          <w:rFonts w:ascii="Arial" w:hAnsi="Arial" w:cs="Arial"/>
          <w:sz w:val="24"/>
          <w:szCs w:val="24"/>
        </w:rPr>
        <w:t>. As subvenções que se destinarem à cobertura de déficits de funcionamento das entidades mencionadas no caput deverão ser autorizadas por ´lei específica, nos termos do art. 26 da Lei Complementar nº 101/2000.</w:t>
      </w:r>
    </w:p>
    <w:p w14:paraId="4D2F3A3C" w14:textId="77777777" w:rsidR="00F4356D" w:rsidRPr="00F4356D" w:rsidRDefault="00F4356D" w:rsidP="00F4356D">
      <w:pPr>
        <w:spacing w:line="276" w:lineRule="auto"/>
        <w:ind w:right="-710"/>
        <w:jc w:val="center"/>
        <w:rPr>
          <w:rFonts w:ascii="Arial" w:hAnsi="Arial" w:cs="Arial"/>
          <w:b/>
          <w:bCs/>
          <w:sz w:val="24"/>
          <w:szCs w:val="24"/>
        </w:rPr>
      </w:pPr>
      <w:bookmarkStart w:id="25" w:name="_Toc45524659"/>
      <w:r w:rsidRPr="00F4356D">
        <w:rPr>
          <w:rFonts w:ascii="Arial" w:hAnsi="Arial" w:cs="Arial"/>
          <w:b/>
          <w:bCs/>
          <w:sz w:val="24"/>
          <w:szCs w:val="24"/>
        </w:rPr>
        <w:t>Subseção III - Das Contribuições Correntes e de Capital</w:t>
      </w:r>
      <w:bookmarkEnd w:id="25"/>
    </w:p>
    <w:p w14:paraId="27D9FC85" w14:textId="77777777" w:rsidR="00F4356D" w:rsidRPr="00F4356D" w:rsidRDefault="00F4356D" w:rsidP="00F4356D">
      <w:pPr>
        <w:spacing w:line="276" w:lineRule="auto"/>
        <w:ind w:right="-710"/>
        <w:jc w:val="center"/>
        <w:rPr>
          <w:rFonts w:ascii="Arial" w:hAnsi="Arial" w:cs="Arial"/>
          <w:b/>
          <w:bCs/>
          <w:sz w:val="24"/>
          <w:szCs w:val="24"/>
        </w:rPr>
      </w:pPr>
    </w:p>
    <w:p w14:paraId="70B9434B"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b/>
          <w:bCs/>
          <w:snapToGrid w:val="0"/>
          <w:sz w:val="24"/>
          <w:szCs w:val="24"/>
        </w:rPr>
        <w:t>Art. 41.</w:t>
      </w:r>
      <w:r w:rsidRPr="00F4356D">
        <w:rPr>
          <w:rFonts w:ascii="Arial" w:hAnsi="Arial" w:cs="Arial"/>
          <w:snapToGrid w:val="0"/>
          <w:sz w:val="24"/>
          <w:szCs w:val="24"/>
        </w:rPr>
        <w:t xml:space="preserve"> A transferência de recursos a título de contribuição corrente somente será destinada a entidades sem fins lucrativos que preencham uma das seguintes condições:</w:t>
      </w:r>
    </w:p>
    <w:p w14:paraId="0E57914E"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t>I – estejam autorizadas em lei específica, que identifique expressamente a entidade beneficiária;</w:t>
      </w:r>
    </w:p>
    <w:p w14:paraId="506E16F5"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t>II - estejam nominalmente identificadas na Lei Orçamentária; ou</w:t>
      </w:r>
    </w:p>
    <w:p w14:paraId="2A7382A2"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t>III - sejam selecionadas para execução, em parceria com a Administração Pública Municipal, de atividades ou projetos que contribuam diretamente para o alcance de diretrizes, objetivos e metas previstas no Plano Plurianual.</w:t>
      </w:r>
    </w:p>
    <w:p w14:paraId="2C673B39"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b/>
          <w:bCs/>
          <w:snapToGrid w:val="0"/>
          <w:sz w:val="24"/>
          <w:szCs w:val="24"/>
        </w:rPr>
        <w:t>Art. 42</w:t>
      </w:r>
      <w:r w:rsidRPr="00F4356D">
        <w:rPr>
          <w:rFonts w:ascii="Arial" w:hAnsi="Arial" w:cs="Arial"/>
          <w:snapToGrid w:val="0"/>
          <w:sz w:val="24"/>
          <w:szCs w:val="24"/>
        </w:rPr>
        <w:t>. A alocação de recursos para entidades privadas sem fins lucrativos, a título de contribuições de capital, fica condicionada à autorização em lei especial anterior de que trata o art. 12, § 6</w:t>
      </w:r>
      <w:r w:rsidRPr="00F4356D">
        <w:rPr>
          <w:rFonts w:ascii="Arial" w:hAnsi="Arial" w:cs="Arial"/>
          <w:sz w:val="24"/>
          <w:szCs w:val="24"/>
          <w:u w:val="single"/>
          <w:vertAlign w:val="superscript"/>
        </w:rPr>
        <w:t>o</w:t>
      </w:r>
      <w:r w:rsidRPr="00F4356D">
        <w:rPr>
          <w:rFonts w:ascii="Arial" w:hAnsi="Arial" w:cs="Arial"/>
          <w:snapToGrid w:val="0"/>
          <w:sz w:val="24"/>
          <w:szCs w:val="24"/>
        </w:rPr>
        <w:t>, da Lei Federal n</w:t>
      </w:r>
      <w:r w:rsidRPr="00F4356D">
        <w:rPr>
          <w:rFonts w:ascii="Arial" w:hAnsi="Arial" w:cs="Arial"/>
          <w:sz w:val="24"/>
          <w:szCs w:val="24"/>
          <w:u w:val="single"/>
          <w:vertAlign w:val="superscript"/>
        </w:rPr>
        <w:t xml:space="preserve">o </w:t>
      </w:r>
      <w:r w:rsidRPr="00F4356D">
        <w:rPr>
          <w:rFonts w:ascii="Arial" w:hAnsi="Arial" w:cs="Arial"/>
          <w:sz w:val="24"/>
          <w:szCs w:val="24"/>
          <w:vertAlign w:val="superscript"/>
        </w:rPr>
        <w:t xml:space="preserve">   </w:t>
      </w:r>
      <w:r w:rsidRPr="00F4356D">
        <w:rPr>
          <w:rFonts w:ascii="Arial" w:hAnsi="Arial" w:cs="Arial"/>
          <w:snapToGrid w:val="0"/>
          <w:sz w:val="24"/>
          <w:szCs w:val="24"/>
        </w:rPr>
        <w:t>4.320/1964.</w:t>
      </w:r>
    </w:p>
    <w:p w14:paraId="0F57C04B" w14:textId="77777777" w:rsidR="00F4356D" w:rsidRPr="00F4356D" w:rsidRDefault="00F4356D" w:rsidP="00F4356D">
      <w:pPr>
        <w:spacing w:line="276" w:lineRule="auto"/>
        <w:ind w:right="-710"/>
        <w:jc w:val="center"/>
        <w:rPr>
          <w:rFonts w:ascii="Arial" w:hAnsi="Arial" w:cs="Arial"/>
          <w:b/>
          <w:bCs/>
          <w:sz w:val="24"/>
          <w:szCs w:val="24"/>
        </w:rPr>
      </w:pPr>
      <w:bookmarkStart w:id="26" w:name="_Toc45524660"/>
    </w:p>
    <w:p w14:paraId="3478B4C5" w14:textId="77777777" w:rsidR="00F4356D" w:rsidRPr="00F4356D" w:rsidRDefault="00F4356D" w:rsidP="00F4356D">
      <w:pPr>
        <w:spacing w:line="276" w:lineRule="auto"/>
        <w:ind w:right="-710"/>
        <w:jc w:val="center"/>
        <w:rPr>
          <w:rFonts w:ascii="Arial" w:hAnsi="Arial" w:cs="Arial"/>
          <w:b/>
          <w:bCs/>
          <w:sz w:val="24"/>
          <w:szCs w:val="24"/>
        </w:rPr>
      </w:pPr>
    </w:p>
    <w:p w14:paraId="15BBB3E6" w14:textId="77777777" w:rsidR="00F4356D" w:rsidRPr="00F4356D" w:rsidRDefault="00F4356D" w:rsidP="00F4356D">
      <w:pPr>
        <w:spacing w:line="276" w:lineRule="auto"/>
        <w:ind w:right="-710"/>
        <w:jc w:val="center"/>
        <w:rPr>
          <w:rFonts w:ascii="Arial" w:hAnsi="Arial" w:cs="Arial"/>
          <w:b/>
          <w:bCs/>
          <w:sz w:val="24"/>
          <w:szCs w:val="24"/>
        </w:rPr>
      </w:pPr>
    </w:p>
    <w:p w14:paraId="5CF13939" w14:textId="77777777" w:rsidR="00F4356D" w:rsidRPr="00F4356D" w:rsidRDefault="00F4356D" w:rsidP="00F4356D">
      <w:pPr>
        <w:spacing w:line="360" w:lineRule="auto"/>
        <w:ind w:right="-710"/>
        <w:jc w:val="center"/>
        <w:rPr>
          <w:rFonts w:ascii="Arial" w:hAnsi="Arial" w:cs="Arial"/>
          <w:b/>
          <w:bCs/>
          <w:sz w:val="24"/>
          <w:szCs w:val="24"/>
        </w:rPr>
      </w:pPr>
      <w:r w:rsidRPr="00F4356D">
        <w:rPr>
          <w:rFonts w:ascii="Arial" w:hAnsi="Arial" w:cs="Arial"/>
          <w:b/>
          <w:bCs/>
          <w:sz w:val="24"/>
          <w:szCs w:val="24"/>
        </w:rPr>
        <w:t>Subseção IV - Dos Auxílios</w:t>
      </w:r>
      <w:bookmarkEnd w:id="26"/>
    </w:p>
    <w:p w14:paraId="2D2D222A"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43</w:t>
      </w:r>
      <w:r w:rsidRPr="00F4356D">
        <w:rPr>
          <w:rFonts w:ascii="Arial" w:hAnsi="Arial" w:cs="Arial"/>
          <w:sz w:val="24"/>
          <w:szCs w:val="24"/>
        </w:rPr>
        <w:t>. A transferência de recursos a título de auxílios, previstos no art. 12, § 6</w:t>
      </w:r>
      <w:r w:rsidRPr="00F4356D">
        <w:rPr>
          <w:rFonts w:ascii="Arial" w:hAnsi="Arial" w:cs="Arial"/>
          <w:sz w:val="24"/>
          <w:szCs w:val="24"/>
          <w:u w:val="single"/>
          <w:vertAlign w:val="superscript"/>
        </w:rPr>
        <w:t>o</w:t>
      </w:r>
      <w:r w:rsidRPr="00F4356D">
        <w:rPr>
          <w:rFonts w:ascii="Arial" w:hAnsi="Arial" w:cs="Arial"/>
          <w:sz w:val="24"/>
          <w:szCs w:val="24"/>
        </w:rPr>
        <w:t>, da Lei Federal n</w:t>
      </w:r>
      <w:r w:rsidRPr="00F4356D">
        <w:rPr>
          <w:rFonts w:ascii="Arial" w:hAnsi="Arial" w:cs="Arial"/>
          <w:sz w:val="24"/>
          <w:szCs w:val="24"/>
          <w:u w:val="single"/>
          <w:vertAlign w:val="superscript"/>
        </w:rPr>
        <w:t>o</w:t>
      </w:r>
      <w:r w:rsidRPr="00F4356D">
        <w:rPr>
          <w:rFonts w:ascii="Arial" w:hAnsi="Arial" w:cs="Arial"/>
          <w:sz w:val="24"/>
          <w:szCs w:val="24"/>
        </w:rPr>
        <w:t xml:space="preserve"> 4.320/1964, somente poderá ser realizada para entidades privadas sem fins lucrativos que sejam:</w:t>
      </w:r>
    </w:p>
    <w:p w14:paraId="378472A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 - de atendimento direto e gratuito ao público e voltadas para a educação básica ou educação especial;</w:t>
      </w:r>
    </w:p>
    <w:p w14:paraId="6F2F8938"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lastRenderedPageBreak/>
        <w:t>II – para o desenvolvimento de programas voltados a manutenção e preservação do Meio Ambiente;</w:t>
      </w:r>
    </w:p>
    <w:p w14:paraId="0DB022A8"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III - voltadas a ações de saúde e de atendimento direto e gratuito ao público, prestadas por entidades sem fins lucrativos que sejam certificadas como entidades beneficentes de assistência social na área de saúde;</w:t>
      </w:r>
    </w:p>
    <w:p w14:paraId="392E3D81"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IV - qualificadas como Organização da Sociedade Civil de Interesse Público - OSCIP, com termo de parceria firmada com o Poder Público Municipal, de acordo com a Lei Federal n</w:t>
      </w:r>
      <w:r w:rsidRPr="00F4356D">
        <w:rPr>
          <w:rFonts w:ascii="Arial" w:hAnsi="Arial" w:cs="Arial"/>
          <w:sz w:val="24"/>
          <w:szCs w:val="24"/>
          <w:u w:val="single"/>
          <w:vertAlign w:val="superscript"/>
        </w:rPr>
        <w:t>o</w:t>
      </w:r>
      <w:r w:rsidRPr="00F4356D">
        <w:rPr>
          <w:rFonts w:ascii="Arial" w:hAnsi="Arial" w:cs="Arial"/>
          <w:sz w:val="24"/>
          <w:szCs w:val="24"/>
        </w:rPr>
        <w:t xml:space="preserve"> 9.790/1999, e que participem da execução de programas constantes no plano plurianual, devendo a destinação de recursos guardar conformidade com os objetivos sociais da entidade;</w:t>
      </w:r>
    </w:p>
    <w:p w14:paraId="3DFA59BA"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V - qualificadas para o desenvolvimento de atividades esportivas que contribuam para a formação e capacitação de atletas;</w:t>
      </w:r>
    </w:p>
    <w:p w14:paraId="48510292"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VI - destinada a atender, assegurar e a promover o exercício dos direitos e das liberdades fundamentais por pessoa com deficiência, visando à sua habilitação, reabilitação e integração social e cidadania, nos termos da Lei Federal n</w:t>
      </w:r>
      <w:r w:rsidRPr="00F4356D">
        <w:rPr>
          <w:rFonts w:ascii="Arial" w:hAnsi="Arial" w:cs="Arial"/>
          <w:sz w:val="24"/>
          <w:szCs w:val="24"/>
          <w:u w:val="single"/>
          <w:vertAlign w:val="superscript"/>
        </w:rPr>
        <w:t>o</w:t>
      </w:r>
      <w:r w:rsidRPr="00F4356D">
        <w:rPr>
          <w:rFonts w:ascii="Arial" w:hAnsi="Arial" w:cs="Arial"/>
          <w:sz w:val="24"/>
          <w:szCs w:val="24"/>
        </w:rPr>
        <w:t> 13.146/2015;</w:t>
      </w:r>
    </w:p>
    <w:p w14:paraId="66DC783F"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sidRPr="00F4356D">
        <w:rPr>
          <w:rFonts w:ascii="Arial" w:hAnsi="Arial" w:cs="Arial"/>
          <w:sz w:val="24"/>
          <w:szCs w:val="24"/>
          <w:u w:val="single"/>
          <w:vertAlign w:val="superscript"/>
        </w:rPr>
        <w:t>o</w:t>
      </w:r>
      <w:r w:rsidRPr="00F4356D">
        <w:rPr>
          <w:rFonts w:ascii="Arial" w:hAnsi="Arial" w:cs="Arial"/>
          <w:sz w:val="24"/>
          <w:szCs w:val="24"/>
        </w:rPr>
        <w:t> 12.305/2010, regulamentada pelo Decreto Federal n</w:t>
      </w:r>
      <w:r w:rsidRPr="00F4356D">
        <w:rPr>
          <w:rFonts w:ascii="Arial" w:hAnsi="Arial" w:cs="Arial"/>
          <w:sz w:val="24"/>
          <w:szCs w:val="24"/>
          <w:u w:val="single"/>
          <w:vertAlign w:val="superscript"/>
        </w:rPr>
        <w:t>o</w:t>
      </w:r>
      <w:r w:rsidRPr="00F4356D">
        <w:rPr>
          <w:rFonts w:ascii="Arial" w:hAnsi="Arial" w:cs="Arial"/>
          <w:sz w:val="24"/>
          <w:szCs w:val="24"/>
        </w:rPr>
        <w:t> 7.404/2010; e</w:t>
      </w:r>
    </w:p>
    <w:p w14:paraId="32FE079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VIII - voltadas ao atendimento direto e gratuito ao público na área de assistência social que:</w:t>
      </w:r>
    </w:p>
    <w:p w14:paraId="56760B9D"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a) se destinem a pessoas idosas, crianças e adolescentes em situação de vulnerabilidade social, risco pessoal e social;</w:t>
      </w:r>
    </w:p>
    <w:p w14:paraId="09A8651F"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b) sejam voltadas ao atendimento de pessoas em situação de vulnerabilidade social, violação de direito ou diretamente alcançadas por programas e ações de combate à pobreza e geração de trabalho e renda;</w:t>
      </w:r>
    </w:p>
    <w:p w14:paraId="1C3C1CFF"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xml:space="preserve">§ 1º </w:t>
      </w:r>
      <w:r w:rsidRPr="00F4356D">
        <w:rPr>
          <w:rFonts w:ascii="Arial" w:hAnsi="Arial" w:cs="Arial"/>
          <w:sz w:val="24"/>
          <w:szCs w:val="24"/>
        </w:rPr>
        <w:t>No caso do inciso I, a transferência de recursos públicos deve ser obrigatoriamente justificada e vinculada ao plano de expansão da oferta pública na respectiva etapa e modalidade de educação.</w:t>
      </w:r>
    </w:p>
    <w:p w14:paraId="49312818"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b/>
          <w:bCs/>
          <w:sz w:val="24"/>
          <w:szCs w:val="24"/>
        </w:rPr>
        <w:t>§ 2º</w:t>
      </w:r>
      <w:r w:rsidRPr="00F4356D">
        <w:rPr>
          <w:rFonts w:ascii="Arial" w:hAnsi="Arial" w:cs="Arial"/>
          <w:sz w:val="24"/>
          <w:szCs w:val="24"/>
        </w:rPr>
        <w:t xml:space="preserve"> No caso do inciso IV, as</w:t>
      </w:r>
      <w:r w:rsidRPr="00F4356D">
        <w:rPr>
          <w:rFonts w:ascii="Arial" w:hAnsi="Arial" w:cs="Arial"/>
          <w:snapToGrid w:val="0"/>
          <w:sz w:val="24"/>
          <w:szCs w:val="24"/>
        </w:rPr>
        <w:t xml:space="preserve"> transferências serão efetuadas por meio de termo de parceria, caso em que deverá ser observada a legislação específica pertinente a essas entidades e processo seletivo de ampla divulgação.</w:t>
      </w:r>
    </w:p>
    <w:p w14:paraId="7DDC092A" w14:textId="77777777" w:rsidR="00F4356D" w:rsidRPr="00F4356D" w:rsidRDefault="00F4356D" w:rsidP="00F4356D">
      <w:pPr>
        <w:spacing w:line="360" w:lineRule="auto"/>
        <w:ind w:right="-710"/>
        <w:jc w:val="center"/>
        <w:rPr>
          <w:rFonts w:ascii="Arial" w:hAnsi="Arial" w:cs="Arial"/>
          <w:b/>
          <w:bCs/>
          <w:sz w:val="24"/>
          <w:szCs w:val="24"/>
        </w:rPr>
      </w:pPr>
      <w:bookmarkStart w:id="27" w:name="_Toc45524661"/>
      <w:r w:rsidRPr="00F4356D">
        <w:rPr>
          <w:rFonts w:ascii="Arial" w:hAnsi="Arial" w:cs="Arial"/>
          <w:b/>
          <w:bCs/>
          <w:sz w:val="24"/>
          <w:szCs w:val="24"/>
        </w:rPr>
        <w:t>Subseção V - Das Disposições Gerais para Destinação de Recursos Públicos para Pessoas Físicas e Jurídicas</w:t>
      </w:r>
      <w:bookmarkEnd w:id="27"/>
    </w:p>
    <w:p w14:paraId="7D589866"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b/>
          <w:bCs/>
          <w:snapToGrid w:val="0"/>
          <w:sz w:val="24"/>
          <w:szCs w:val="24"/>
        </w:rPr>
        <w:lastRenderedPageBreak/>
        <w:t>Art. 44</w:t>
      </w:r>
      <w:r w:rsidRPr="00F4356D">
        <w:rPr>
          <w:rFonts w:ascii="Arial" w:hAnsi="Arial" w:cs="Arial"/>
          <w:snapToGrid w:val="0"/>
          <w:sz w:val="24"/>
          <w:szCs w:val="24"/>
        </w:rPr>
        <w:t>. Sem prejuízo das demais disposições contidas nesta seção, a transferência de recursos prevista na Lei Federal n</w:t>
      </w:r>
      <w:r w:rsidRPr="00F4356D">
        <w:rPr>
          <w:rFonts w:ascii="Arial" w:hAnsi="Arial" w:cs="Arial"/>
          <w:sz w:val="24"/>
          <w:szCs w:val="24"/>
          <w:u w:val="single"/>
          <w:vertAlign w:val="superscript"/>
        </w:rPr>
        <w:t>o</w:t>
      </w:r>
      <w:r w:rsidRPr="00F4356D">
        <w:rPr>
          <w:rFonts w:ascii="Arial" w:hAnsi="Arial" w:cs="Arial"/>
          <w:snapToGrid w:val="0"/>
          <w:sz w:val="24"/>
          <w:szCs w:val="24"/>
        </w:rPr>
        <w:t xml:space="preserve"> 4.320/1964, a entidade privada sem fins lucrativos, dependerá ainda de:</w:t>
      </w:r>
    </w:p>
    <w:p w14:paraId="4ADB82E8"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t>I – execução da despesa na modalidade de aplicação 50 – Transferências a Instituições Privadas sem fins lucrativos;</w:t>
      </w:r>
    </w:p>
    <w:p w14:paraId="6239CFE0"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t>II – estar regularmente constituída, assim considerado:</w:t>
      </w:r>
    </w:p>
    <w:p w14:paraId="5EE8BD28"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t>a) no mínimo dois (2)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14:paraId="21ADA03E"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t>b) tenha escrituração de acordo com os princípios fundamentais de contabilidade e com as Normas Brasileiras de Contabilidade;</w:t>
      </w:r>
    </w:p>
    <w:p w14:paraId="1CE935E7"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t>III – ter apresentado as prestações de contas de recursos anteriormente recebidos, nos prazos e condições fixados na legislação e no convênio ou termo de parceria, contrato ou instrumento congênere celebrados;</w:t>
      </w:r>
    </w:p>
    <w:p w14:paraId="39C5AE6B"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14:paraId="6FC10DFE"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t>V – não ter como dirigente pessoa que:</w:t>
      </w:r>
    </w:p>
    <w:p w14:paraId="5C42C248"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t>a) seja membro de Poder, órgão ou entidade da Administração Pública Municipal, estendendo-se a vedação aos respectivos cônjuges ou companheiros, bem como parentes em linha reta, colateral ou por afinidade, até o segundo grau;</w:t>
      </w:r>
    </w:p>
    <w:p w14:paraId="08242B7C"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napToGrid w:val="0"/>
          <w:sz w:val="24"/>
          <w:szCs w:val="24"/>
        </w:rPr>
        <w:t xml:space="preserve">b) </w:t>
      </w:r>
      <w:r w:rsidRPr="00F4356D">
        <w:rPr>
          <w:rFonts w:ascii="Arial" w:hAnsi="Arial" w:cs="Arial"/>
          <w:sz w:val="24"/>
          <w:szCs w:val="24"/>
        </w:rPr>
        <w:t>incida em quaisquer das hipóteses de inelegibilidade previstas no art. 1</w:t>
      </w:r>
      <w:r w:rsidRPr="00F4356D">
        <w:rPr>
          <w:rFonts w:ascii="Arial" w:hAnsi="Arial" w:cs="Arial"/>
          <w:sz w:val="24"/>
          <w:szCs w:val="24"/>
          <w:u w:val="single"/>
          <w:vertAlign w:val="superscript"/>
        </w:rPr>
        <w:t>o</w:t>
      </w:r>
      <w:r w:rsidRPr="00F4356D">
        <w:rPr>
          <w:rFonts w:ascii="Arial" w:hAnsi="Arial" w:cs="Arial"/>
          <w:sz w:val="24"/>
          <w:szCs w:val="24"/>
        </w:rPr>
        <w:t>, inciso I, da Lei Complementar n</w:t>
      </w:r>
      <w:r w:rsidRPr="00F4356D">
        <w:rPr>
          <w:rFonts w:ascii="Arial" w:hAnsi="Arial" w:cs="Arial"/>
          <w:sz w:val="24"/>
          <w:szCs w:val="24"/>
          <w:u w:val="single"/>
          <w:vertAlign w:val="superscript"/>
        </w:rPr>
        <w:t>o</w:t>
      </w:r>
      <w:r w:rsidRPr="00F4356D">
        <w:rPr>
          <w:rFonts w:ascii="Arial" w:hAnsi="Arial" w:cs="Arial"/>
          <w:sz w:val="24"/>
          <w:szCs w:val="24"/>
        </w:rPr>
        <w:t xml:space="preserve"> 64, de 18 de maio de 1990;</w:t>
      </w:r>
    </w:p>
    <w:p w14:paraId="6EA4FA07" w14:textId="77777777" w:rsidR="00F4356D" w:rsidRPr="00F4356D" w:rsidRDefault="00F4356D" w:rsidP="00F4356D">
      <w:pPr>
        <w:spacing w:after="160" w:line="276" w:lineRule="auto"/>
        <w:ind w:right="-710" w:firstLine="708"/>
        <w:jc w:val="both"/>
        <w:rPr>
          <w:rFonts w:ascii="Arial" w:hAnsi="Arial" w:cs="Arial"/>
          <w:color w:val="000000"/>
          <w:sz w:val="24"/>
          <w:szCs w:val="24"/>
        </w:rPr>
      </w:pPr>
      <w:r w:rsidRPr="00F4356D">
        <w:rPr>
          <w:rFonts w:ascii="Arial" w:hAnsi="Arial" w:cs="Arial"/>
          <w:sz w:val="24"/>
          <w:szCs w:val="24"/>
        </w:rPr>
        <w:t xml:space="preserve">c) </w:t>
      </w:r>
      <w:r w:rsidRPr="00F4356D">
        <w:rPr>
          <w:rFonts w:ascii="Arial" w:hAnsi="Arial" w:cs="Arial"/>
          <w:color w:val="000000"/>
          <w:sz w:val="24"/>
          <w:szCs w:val="24"/>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14:paraId="4A18D168" w14:textId="77777777" w:rsidR="00F4356D" w:rsidRPr="00F4356D" w:rsidRDefault="00F4356D" w:rsidP="00F4356D">
      <w:pPr>
        <w:spacing w:after="160" w:line="276" w:lineRule="auto"/>
        <w:ind w:right="-710" w:firstLine="708"/>
        <w:jc w:val="both"/>
        <w:rPr>
          <w:rFonts w:ascii="Arial" w:hAnsi="Arial" w:cs="Arial"/>
          <w:color w:val="000000"/>
          <w:sz w:val="24"/>
          <w:szCs w:val="24"/>
        </w:rPr>
      </w:pPr>
      <w:r w:rsidRPr="00F4356D">
        <w:rPr>
          <w:rFonts w:ascii="Arial" w:hAnsi="Arial" w:cs="Arial"/>
          <w:color w:val="000000"/>
          <w:sz w:val="24"/>
          <w:szCs w:val="24"/>
        </w:rPr>
        <w:t>d) tenha sido julgada responsável por falta grave e inabilitada para o exercício de cargo em comissão ou função de confiança, enquanto durar a inabilitação;</w:t>
      </w:r>
    </w:p>
    <w:p w14:paraId="35266E28"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color w:val="000000"/>
          <w:sz w:val="24"/>
          <w:szCs w:val="24"/>
        </w:rPr>
        <w:t>e) tenha sido considerada responsável por ato de improbidade, enquanto durarem os prazos estabelecidos nos </w:t>
      </w:r>
      <w:r w:rsidRPr="00F4356D">
        <w:rPr>
          <w:rFonts w:ascii="Arial" w:hAnsi="Arial" w:cs="Arial"/>
          <w:sz w:val="24"/>
          <w:szCs w:val="24"/>
        </w:rPr>
        <w:t>incisos I, II e III do art. 12 da Lei no</w:t>
      </w:r>
      <w:r w:rsidRPr="00F4356D">
        <w:rPr>
          <w:rFonts w:ascii="Arial" w:hAnsi="Arial" w:cs="Arial"/>
          <w:color w:val="0000FF"/>
          <w:sz w:val="24"/>
          <w:szCs w:val="24"/>
          <w:u w:val="single"/>
        </w:rPr>
        <w:t> </w:t>
      </w:r>
      <w:r w:rsidRPr="00F4356D">
        <w:rPr>
          <w:rFonts w:ascii="Arial" w:hAnsi="Arial" w:cs="Arial"/>
          <w:sz w:val="24"/>
          <w:szCs w:val="24"/>
        </w:rPr>
        <w:t>8.429, de 2 de junho de 1992</w:t>
      </w:r>
      <w:r w:rsidRPr="00F4356D">
        <w:rPr>
          <w:rFonts w:ascii="Arial" w:hAnsi="Arial" w:cs="Arial"/>
          <w:color w:val="000000"/>
          <w:sz w:val="24"/>
          <w:szCs w:val="24"/>
        </w:rPr>
        <w:t>.</w:t>
      </w:r>
    </w:p>
    <w:p w14:paraId="1E5CB32C"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t xml:space="preserve">VI – formalização de processo administrativo, no qual fiquem demonstrados formalmente o cumprimento das exigências legais em razão do regime jurídico aplicável à espécie, além da emissão de pareceres do órgão técnico da Administração </w:t>
      </w:r>
      <w:r w:rsidRPr="00F4356D">
        <w:rPr>
          <w:rFonts w:ascii="Arial" w:hAnsi="Arial" w:cs="Arial"/>
          <w:snapToGrid w:val="0"/>
          <w:sz w:val="24"/>
          <w:szCs w:val="24"/>
        </w:rPr>
        <w:lastRenderedPageBreak/>
        <w:t>Pública e do órgão de assessoria ou consultoria jurídica da Administração Pública acerca da possibilidade de celebração da parceria.</w:t>
      </w:r>
    </w:p>
    <w:p w14:paraId="65527320"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Parágrafo único.</w:t>
      </w:r>
      <w:r w:rsidRPr="00F4356D">
        <w:rPr>
          <w:rFonts w:ascii="Arial" w:hAnsi="Arial" w:cs="Arial"/>
          <w:sz w:val="24"/>
          <w:szCs w:val="24"/>
        </w:rPr>
        <w:t xml:space="preserve"> Caberá a Secretaria de Administração e Planejamento verificar e declarar a implementação das condições previstas neste artigo e demais requisitos estabelecidos nesta seção, comunicando à Unidade Central de Controle Interno eventuais irregularidades verificadas.</w:t>
      </w:r>
    </w:p>
    <w:p w14:paraId="27179228"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45</w:t>
      </w:r>
      <w:r w:rsidRPr="00F4356D">
        <w:rPr>
          <w:rFonts w:ascii="Arial" w:hAnsi="Arial" w:cs="Arial"/>
          <w:sz w:val="24"/>
          <w:szCs w:val="24"/>
        </w:rPr>
        <w:t>.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14:paraId="4E4EC1DA"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46</w:t>
      </w:r>
      <w:r w:rsidRPr="00F4356D">
        <w:rPr>
          <w:rFonts w:ascii="Arial" w:hAnsi="Arial" w:cs="Arial"/>
          <w:sz w:val="24"/>
          <w:szCs w:val="24"/>
        </w:rPr>
        <w:t>.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14:paraId="3E6FA050"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b/>
          <w:bCs/>
          <w:snapToGrid w:val="0"/>
          <w:sz w:val="24"/>
          <w:szCs w:val="24"/>
        </w:rPr>
        <w:t>Parágrafo único</w:t>
      </w:r>
      <w:r w:rsidRPr="00F4356D">
        <w:rPr>
          <w:rFonts w:ascii="Arial" w:hAnsi="Arial" w:cs="Arial"/>
          <w:snapToGrid w:val="0"/>
          <w:sz w:val="24"/>
          <w:szCs w:val="24"/>
        </w:rPr>
        <w:t>.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14:paraId="5B65E7EA"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t xml:space="preserve">I – nome e CNPJ da entidade; </w:t>
      </w:r>
    </w:p>
    <w:p w14:paraId="6F7EE774"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t xml:space="preserve">II – nome, função e CPF dos dirigentes; </w:t>
      </w:r>
    </w:p>
    <w:p w14:paraId="7282391C"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t xml:space="preserve">III – área de atuação;  </w:t>
      </w:r>
    </w:p>
    <w:p w14:paraId="08D5DDA3"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t xml:space="preserve">IV – endereço da sede; </w:t>
      </w:r>
    </w:p>
    <w:p w14:paraId="0FA47070"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t xml:space="preserve">V – data, objeto, valor e número do convênio, termo de parceria, contrato ou instrumento congênere; </w:t>
      </w:r>
    </w:p>
    <w:p w14:paraId="327A3156"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t xml:space="preserve">VI – valores transferidos e respectivas datas. </w:t>
      </w:r>
    </w:p>
    <w:p w14:paraId="14C37002"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b/>
          <w:bCs/>
          <w:snapToGrid w:val="0"/>
          <w:sz w:val="24"/>
          <w:szCs w:val="24"/>
        </w:rPr>
        <w:t>Art. 47</w:t>
      </w:r>
      <w:r w:rsidRPr="00F4356D">
        <w:rPr>
          <w:rFonts w:ascii="Arial" w:hAnsi="Arial" w:cs="Arial"/>
          <w:snapToGrid w:val="0"/>
          <w:sz w:val="24"/>
          <w:szCs w:val="24"/>
        </w:rPr>
        <w:t>.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F4356D">
        <w:rPr>
          <w:rFonts w:ascii="Arial" w:hAnsi="Arial" w:cs="Arial"/>
          <w:snapToGrid w:val="0"/>
          <w:sz w:val="24"/>
          <w:szCs w:val="24"/>
          <w:u w:val="single"/>
          <w:vertAlign w:val="superscript"/>
        </w:rPr>
        <w:t>o</w:t>
      </w:r>
      <w:r w:rsidRPr="00F4356D">
        <w:rPr>
          <w:rFonts w:ascii="Arial" w:hAnsi="Arial" w:cs="Arial"/>
          <w:snapToGrid w:val="0"/>
          <w:sz w:val="24"/>
          <w:szCs w:val="24"/>
        </w:rPr>
        <w:t> 101/2000.</w:t>
      </w:r>
    </w:p>
    <w:p w14:paraId="28ACC64F"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b/>
          <w:bCs/>
          <w:snapToGrid w:val="0"/>
          <w:sz w:val="24"/>
          <w:szCs w:val="24"/>
        </w:rPr>
        <w:t>Art. 48.</w:t>
      </w:r>
      <w:r w:rsidRPr="00F4356D">
        <w:rPr>
          <w:rFonts w:ascii="Arial" w:hAnsi="Arial" w:cs="Arial"/>
          <w:snapToGrid w:val="0"/>
          <w:sz w:val="24"/>
          <w:szCs w:val="24"/>
        </w:rPr>
        <w:t xml:space="preserve"> Toda movimentação de recursos relativos às subvenções, contribuições e auxílios de que trata esta Seção, por parte das entidades beneficiárias, somente será realizada observando-se os seguintes preceitos:</w:t>
      </w:r>
    </w:p>
    <w:p w14:paraId="0740866A"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t>I – depósito e movimentação em conta bancária específica para cada instrumento de transferência;</w:t>
      </w:r>
    </w:p>
    <w:p w14:paraId="51714F72"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snapToGrid w:val="0"/>
          <w:sz w:val="24"/>
          <w:szCs w:val="24"/>
        </w:rPr>
        <w:lastRenderedPageBreak/>
        <w:t>II - desembolsos mediante documento bancário, por meio do qual se faça crédito na conta bancária de titularidade do fornecedor ou prestador de serviços.</w:t>
      </w:r>
    </w:p>
    <w:p w14:paraId="0301B870" w14:textId="77777777" w:rsidR="00F4356D" w:rsidRPr="00F4356D" w:rsidRDefault="00F4356D" w:rsidP="00F4356D">
      <w:pPr>
        <w:spacing w:after="160" w:line="276" w:lineRule="auto"/>
        <w:ind w:right="-710" w:firstLine="708"/>
        <w:jc w:val="both"/>
        <w:rPr>
          <w:rFonts w:ascii="Arial" w:hAnsi="Arial" w:cs="Arial"/>
          <w:snapToGrid w:val="0"/>
          <w:sz w:val="24"/>
          <w:szCs w:val="24"/>
        </w:rPr>
      </w:pPr>
      <w:r w:rsidRPr="00F4356D">
        <w:rPr>
          <w:rFonts w:ascii="Arial" w:hAnsi="Arial" w:cs="Arial"/>
          <w:b/>
          <w:bCs/>
          <w:snapToGrid w:val="0"/>
          <w:sz w:val="24"/>
          <w:szCs w:val="24"/>
        </w:rPr>
        <w:t>Parágrafo único.</w:t>
      </w:r>
      <w:r w:rsidRPr="00F4356D">
        <w:rPr>
          <w:rFonts w:ascii="Arial" w:hAnsi="Arial" w:cs="Arial"/>
          <w:snapToGrid w:val="0"/>
          <w:sz w:val="24"/>
          <w:szCs w:val="24"/>
        </w:rPr>
        <w:t xml:space="preserve">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14:paraId="740D4300"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napToGrid w:val="0"/>
          <w:sz w:val="24"/>
          <w:szCs w:val="24"/>
        </w:rPr>
        <w:t>Art. 49.</w:t>
      </w:r>
      <w:r w:rsidRPr="00F4356D">
        <w:rPr>
          <w:rFonts w:ascii="Arial" w:hAnsi="Arial" w:cs="Arial"/>
          <w:snapToGrid w:val="0"/>
          <w:sz w:val="24"/>
          <w:szCs w:val="24"/>
        </w:rPr>
        <w:t xml:space="preserve"> Não se aplicam a disposições desta seção os recursos entregues a Consórcios Públicos mediante contrato de rateio, </w:t>
      </w:r>
      <w:r w:rsidRPr="00F4356D">
        <w:rPr>
          <w:rFonts w:ascii="Arial" w:hAnsi="Arial" w:cs="Arial"/>
          <w:sz w:val="24"/>
          <w:szCs w:val="24"/>
        </w:rPr>
        <w:t>nos termos regulados pela Lei Federal nº 11.107/2005 e pelo Decreto Federal nº 6.017/2017.</w:t>
      </w:r>
      <w:bookmarkStart w:id="28" w:name="_Toc515609484"/>
      <w:bookmarkStart w:id="29" w:name="_Toc45524662"/>
    </w:p>
    <w:p w14:paraId="3BD05E8C" w14:textId="77777777" w:rsidR="00F4356D" w:rsidRPr="00F4356D" w:rsidRDefault="00F4356D" w:rsidP="00F4356D">
      <w:pPr>
        <w:spacing w:line="276" w:lineRule="auto"/>
        <w:ind w:right="-710"/>
        <w:jc w:val="center"/>
        <w:rPr>
          <w:rFonts w:ascii="Arial" w:hAnsi="Arial" w:cs="Arial"/>
          <w:b/>
          <w:bCs/>
          <w:sz w:val="24"/>
          <w:szCs w:val="24"/>
        </w:rPr>
      </w:pPr>
    </w:p>
    <w:p w14:paraId="43C801E4" w14:textId="77777777" w:rsidR="00F4356D" w:rsidRPr="00F4356D" w:rsidRDefault="00F4356D" w:rsidP="00F4356D">
      <w:pPr>
        <w:spacing w:line="360" w:lineRule="auto"/>
        <w:ind w:right="-710"/>
        <w:jc w:val="center"/>
        <w:rPr>
          <w:rFonts w:ascii="Arial" w:hAnsi="Arial" w:cs="Arial"/>
          <w:b/>
          <w:bCs/>
          <w:sz w:val="24"/>
          <w:szCs w:val="24"/>
        </w:rPr>
      </w:pPr>
      <w:r w:rsidRPr="00F4356D">
        <w:rPr>
          <w:rFonts w:ascii="Arial" w:hAnsi="Arial" w:cs="Arial"/>
          <w:b/>
          <w:bCs/>
          <w:sz w:val="24"/>
          <w:szCs w:val="24"/>
        </w:rPr>
        <w:t>Seção VIII - Dos Empréstimos, Financiamentos e Refinanciamentos</w:t>
      </w:r>
      <w:bookmarkEnd w:id="28"/>
      <w:bookmarkEnd w:id="29"/>
    </w:p>
    <w:p w14:paraId="6AFD6A48"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50.</w:t>
      </w:r>
      <w:r w:rsidRPr="00F4356D">
        <w:rPr>
          <w:rFonts w:ascii="Arial" w:hAnsi="Arial" w:cs="Arial"/>
          <w:sz w:val="24"/>
          <w:szCs w:val="24"/>
        </w:rPr>
        <w:t xml:space="preserve"> Observado o disposto no art. 27 da Lei Complementar nº 101/2000, a concessão de empréstimos e financiamentos destinados a pessoas físicas e jurídicas fica condicionada ao pagamento de juros não inferiores a 12 % ao ano, ou ao custo de captação e também às seguintes exigências:</w:t>
      </w:r>
    </w:p>
    <w:p w14:paraId="16E33FEC"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 - concessão através de fundo rotativo ou programa governamental específico;</w:t>
      </w:r>
    </w:p>
    <w:p w14:paraId="27180CA3"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 - pré-seleção e aprovação dos beneficiários pelo Poder Público;</w:t>
      </w:r>
    </w:p>
    <w:p w14:paraId="60A9A321"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III - formalização de contrato;</w:t>
      </w:r>
    </w:p>
    <w:p w14:paraId="66E401A0"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IV – assunção, pelo mutuário, dos encargos financeiros, eventuais comissões, taxas e outras despesas cobradas pelo agente financeiro, quando for o caso.</w:t>
      </w:r>
    </w:p>
    <w:p w14:paraId="541F52C1"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No caso das pessoas jurídicas, serão consideradas como prioritárias, para a concessão de empréstimos ou financiamentos, as empresas que:</w:t>
      </w:r>
    </w:p>
    <w:p w14:paraId="50B6AB13"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 xml:space="preserve">I - desenvolvam projetos de responsabilidade socioambiental; </w:t>
      </w:r>
    </w:p>
    <w:p w14:paraId="0ACDE680"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 xml:space="preserve">II - integrem as cadeias produtivas locais; </w:t>
      </w:r>
    </w:p>
    <w:p w14:paraId="181073E0"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 xml:space="preserve">III - empreguem pessoas com deficiência em proporção superior à exigida no art. 110 da Lei Federal </w:t>
      </w:r>
      <w:proofErr w:type="gramStart"/>
      <w:r w:rsidRPr="00F4356D">
        <w:rPr>
          <w:rFonts w:ascii="Arial" w:hAnsi="Arial" w:cs="Arial"/>
          <w:sz w:val="24"/>
          <w:szCs w:val="24"/>
        </w:rPr>
        <w:t>nº  8.213</w:t>
      </w:r>
      <w:proofErr w:type="gramEnd"/>
      <w:r w:rsidRPr="00F4356D">
        <w:rPr>
          <w:rFonts w:ascii="Arial" w:hAnsi="Arial" w:cs="Arial"/>
          <w:sz w:val="24"/>
          <w:szCs w:val="24"/>
        </w:rPr>
        <w:t xml:space="preserve">, de 24 de julho de 1991; </w:t>
      </w:r>
    </w:p>
    <w:p w14:paraId="4A3A14C4"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IV - adotem políticas de participação dos trabalhadores nos lucros;</w:t>
      </w:r>
    </w:p>
    <w:p w14:paraId="313B8C7B"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2º</w:t>
      </w:r>
      <w:r w:rsidRPr="00F4356D">
        <w:rPr>
          <w:rFonts w:ascii="Arial" w:hAnsi="Arial" w:cs="Arial"/>
          <w:sz w:val="24"/>
          <w:szCs w:val="24"/>
        </w:rPr>
        <w:t xml:space="preserve"> Através de lei específica, poderá ser concedido subsídio para o pagamento dos empréstimos e financiamentos de que trata o </w:t>
      </w:r>
      <w:r w:rsidRPr="00F4356D">
        <w:rPr>
          <w:rFonts w:ascii="Arial" w:hAnsi="Arial" w:cs="Arial"/>
          <w:i/>
          <w:sz w:val="24"/>
          <w:szCs w:val="24"/>
        </w:rPr>
        <w:t>caput</w:t>
      </w:r>
      <w:r w:rsidRPr="00F4356D">
        <w:rPr>
          <w:rFonts w:ascii="Arial" w:hAnsi="Arial" w:cs="Arial"/>
          <w:sz w:val="24"/>
          <w:szCs w:val="24"/>
        </w:rPr>
        <w:t xml:space="preserve"> deste artigo;</w:t>
      </w:r>
    </w:p>
    <w:p w14:paraId="5489060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3º</w:t>
      </w:r>
      <w:r w:rsidRPr="00F4356D">
        <w:rPr>
          <w:rFonts w:ascii="Arial" w:hAnsi="Arial" w:cs="Arial"/>
          <w:sz w:val="24"/>
          <w:szCs w:val="24"/>
        </w:rPr>
        <w:t xml:space="preserve"> As prorrogações e composições de dívidas decorrentes de empréstimos, financiamentos e refinanciamentos concedidos com recursos do Município dependem de autorização expressa em lei específica.</w:t>
      </w:r>
    </w:p>
    <w:p w14:paraId="27B90EFD" w14:textId="77777777" w:rsidR="00F4356D" w:rsidRPr="00F4356D" w:rsidRDefault="00F4356D" w:rsidP="00F4356D">
      <w:pPr>
        <w:spacing w:line="360" w:lineRule="auto"/>
        <w:ind w:right="-710"/>
        <w:jc w:val="center"/>
        <w:rPr>
          <w:rFonts w:ascii="Arial" w:hAnsi="Arial" w:cs="Arial"/>
          <w:b/>
          <w:bCs/>
          <w:sz w:val="24"/>
          <w:szCs w:val="24"/>
        </w:rPr>
      </w:pPr>
      <w:bookmarkStart w:id="30" w:name="_Toc515609485"/>
      <w:bookmarkStart w:id="31" w:name="_Toc45524663"/>
      <w:r w:rsidRPr="00F4356D">
        <w:rPr>
          <w:rFonts w:ascii="Arial" w:hAnsi="Arial" w:cs="Arial"/>
          <w:b/>
          <w:bCs/>
          <w:sz w:val="24"/>
          <w:szCs w:val="24"/>
        </w:rPr>
        <w:t>Capítulo V - Das Disposições Relativas à Dívida Pública Municipal</w:t>
      </w:r>
      <w:bookmarkEnd w:id="30"/>
      <w:bookmarkEnd w:id="31"/>
    </w:p>
    <w:p w14:paraId="0180CE9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lastRenderedPageBreak/>
        <w:t>Art. 51</w:t>
      </w:r>
      <w:r w:rsidRPr="00F4356D">
        <w:rPr>
          <w:rFonts w:ascii="Arial" w:hAnsi="Arial" w:cs="Arial"/>
          <w:sz w:val="24"/>
          <w:szCs w:val="24"/>
        </w:rPr>
        <w:t>. A lei orçamentária anual garantirá recursos para pagamento da dívida pública municipal, nos termos dos compromissos firmados, inclusive com a previdência social.</w:t>
      </w:r>
    </w:p>
    <w:p w14:paraId="45821FB1"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52</w:t>
      </w:r>
      <w:r w:rsidRPr="00F4356D">
        <w:rPr>
          <w:rFonts w:ascii="Arial" w:hAnsi="Arial" w:cs="Arial"/>
          <w:sz w:val="24"/>
          <w:szCs w:val="24"/>
        </w:rPr>
        <w:t>.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bookmarkStart w:id="32" w:name="_Toc515609486"/>
      <w:bookmarkStart w:id="33" w:name="_Toc45524664"/>
      <w:bookmarkStart w:id="34" w:name="_Hlk10473560"/>
    </w:p>
    <w:p w14:paraId="2C06A2EB" w14:textId="77777777" w:rsidR="00F4356D" w:rsidRPr="00F4356D" w:rsidRDefault="00F4356D" w:rsidP="00F4356D">
      <w:pPr>
        <w:spacing w:line="360" w:lineRule="auto"/>
        <w:ind w:right="-710"/>
        <w:jc w:val="center"/>
        <w:rPr>
          <w:rFonts w:ascii="Arial" w:hAnsi="Arial" w:cs="Arial"/>
          <w:b/>
          <w:bCs/>
          <w:sz w:val="24"/>
          <w:szCs w:val="24"/>
        </w:rPr>
      </w:pPr>
      <w:r w:rsidRPr="00F4356D">
        <w:rPr>
          <w:rFonts w:ascii="Arial" w:hAnsi="Arial" w:cs="Arial"/>
          <w:b/>
          <w:bCs/>
          <w:sz w:val="24"/>
          <w:szCs w:val="24"/>
        </w:rPr>
        <w:t>Capítulo VI - Das Disposições Relativas às Despesas com Pessoal e Encargos Sociais</w:t>
      </w:r>
      <w:bookmarkEnd w:id="32"/>
      <w:bookmarkEnd w:id="33"/>
    </w:p>
    <w:p w14:paraId="15A4D99B" w14:textId="77777777" w:rsidR="00F4356D" w:rsidRPr="00F4356D" w:rsidRDefault="00F4356D" w:rsidP="00F4356D">
      <w:pPr>
        <w:spacing w:after="160" w:line="276" w:lineRule="auto"/>
        <w:ind w:right="-710"/>
        <w:jc w:val="both"/>
        <w:rPr>
          <w:rFonts w:ascii="Arial" w:hAnsi="Arial" w:cs="Arial"/>
          <w:bCs/>
          <w:sz w:val="24"/>
          <w:szCs w:val="24"/>
        </w:rPr>
      </w:pPr>
      <w:r w:rsidRPr="00F4356D">
        <w:rPr>
          <w:rFonts w:ascii="Arial" w:hAnsi="Arial" w:cs="Arial"/>
          <w:sz w:val="24"/>
          <w:szCs w:val="24"/>
        </w:rPr>
        <w:t xml:space="preserve"> </w:t>
      </w:r>
      <w:r w:rsidRPr="00F4356D">
        <w:rPr>
          <w:rFonts w:ascii="Arial" w:hAnsi="Arial" w:cs="Arial"/>
          <w:sz w:val="24"/>
          <w:szCs w:val="24"/>
        </w:rPr>
        <w:tab/>
      </w:r>
      <w:r w:rsidRPr="00F4356D">
        <w:rPr>
          <w:rFonts w:ascii="Arial" w:hAnsi="Arial" w:cs="Arial"/>
          <w:b/>
          <w:bCs/>
          <w:sz w:val="24"/>
          <w:szCs w:val="24"/>
        </w:rPr>
        <w:t>Art. 53</w:t>
      </w:r>
      <w:r w:rsidRPr="00F4356D">
        <w:rPr>
          <w:rFonts w:ascii="Arial" w:hAnsi="Arial" w:cs="Arial"/>
          <w:sz w:val="24"/>
          <w:szCs w:val="24"/>
        </w:rPr>
        <w:t xml:space="preserve">. No exercício de 2022, a </w:t>
      </w:r>
      <w:r w:rsidRPr="00F4356D">
        <w:rPr>
          <w:rFonts w:ascii="Arial" w:hAnsi="Arial" w:cs="Arial"/>
          <w:sz w:val="24"/>
          <w:szCs w:val="24"/>
          <w:shd w:val="clear" w:color="auto" w:fill="FFFFFF"/>
        </w:rPr>
        <w:t xml:space="preserve">concessão de vantagens, aumento de remuneração, criação de cargos, empregos e funções ou alteração de estrutura de carreiras, bem como a admissão ou contratação de pessoal, a qualquer título, pelos </w:t>
      </w:r>
      <w:r w:rsidRPr="00F4356D">
        <w:rPr>
          <w:rFonts w:ascii="Arial" w:hAnsi="Arial" w:cs="Arial"/>
          <w:sz w:val="24"/>
          <w:szCs w:val="24"/>
        </w:rPr>
        <w:t>Poderes Executivo e Legislativo, compreendidas as entidades mencionadas no art. 6º dessa Lei, deverão obedecer às disposições deste capítulo e, no que couber, a Lei Complementar nº 101/2000</w:t>
      </w:r>
      <w:r w:rsidRPr="00F4356D">
        <w:rPr>
          <w:rFonts w:ascii="Arial" w:hAnsi="Arial" w:cs="Arial"/>
          <w:bCs/>
          <w:sz w:val="24"/>
          <w:szCs w:val="24"/>
        </w:rPr>
        <w:t>.</w:t>
      </w:r>
    </w:p>
    <w:p w14:paraId="703CC6AE" w14:textId="77777777" w:rsidR="00F4356D" w:rsidRPr="00F4356D" w:rsidRDefault="00F4356D" w:rsidP="00F4356D">
      <w:pPr>
        <w:spacing w:after="160" w:line="276" w:lineRule="auto"/>
        <w:ind w:right="-710"/>
        <w:jc w:val="both"/>
        <w:rPr>
          <w:rFonts w:ascii="Arial" w:hAnsi="Arial" w:cs="Arial"/>
          <w:color w:val="FF0000"/>
          <w:sz w:val="24"/>
          <w:szCs w:val="24"/>
        </w:rPr>
      </w:pPr>
      <w:r w:rsidRPr="00F4356D">
        <w:rPr>
          <w:rFonts w:ascii="Arial" w:hAnsi="Arial" w:cs="Arial"/>
          <w:sz w:val="24"/>
          <w:szCs w:val="24"/>
        </w:rPr>
        <w:t xml:space="preserve"> </w:t>
      </w:r>
      <w:r w:rsidRPr="00F4356D">
        <w:rPr>
          <w:rFonts w:ascii="Arial" w:hAnsi="Arial" w:cs="Arial"/>
          <w:sz w:val="24"/>
          <w:szCs w:val="24"/>
        </w:rPr>
        <w:tab/>
      </w:r>
      <w:r w:rsidRPr="00F4356D">
        <w:rPr>
          <w:rFonts w:ascii="Arial" w:hAnsi="Arial" w:cs="Arial"/>
          <w:b/>
          <w:bCs/>
          <w:sz w:val="24"/>
          <w:szCs w:val="24"/>
        </w:rPr>
        <w:t>Parágrafo único</w:t>
      </w:r>
      <w:r w:rsidRPr="00F4356D">
        <w:rPr>
          <w:rFonts w:ascii="Arial" w:hAnsi="Arial" w:cs="Arial"/>
          <w:sz w:val="24"/>
          <w:szCs w:val="24"/>
        </w:rPr>
        <w:t>. Os Poderes Executivo e Legislativo terão como base de projeção de suas propostas orçamentárias, relativo a pessoal e encargos sociais, a despesa com a folha de pagamento do mês de outubro de 2021, compatibilizada com as despesas apresentadas até esse mês e os eventuais acréscimos legais com efeito financeiro em 2022, inclusive a revisão geral anual da remuneração dos servidores públicos e o crescimento vegetativo.</w:t>
      </w:r>
    </w:p>
    <w:p w14:paraId="669EE3F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54</w:t>
      </w:r>
      <w:r w:rsidRPr="00F4356D">
        <w:rPr>
          <w:rFonts w:ascii="Arial" w:hAnsi="Arial" w:cs="Arial"/>
          <w:sz w:val="24"/>
          <w:szCs w:val="24"/>
        </w:rPr>
        <w:t>. Para fins dos limites previstos no art. 19, inciso III, alíneas “a” e “b” da Lei Complementar nº 101/2000, o cálculo das despesas com pessoal dos poderes executivo e legislativo deverá observar as prescrições da Instrução Normativa nº 04/2021 do Tribunal de Contas do Estado, ou a norma que lhe for superveniente.</w:t>
      </w:r>
    </w:p>
    <w:p w14:paraId="789C642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55.</w:t>
      </w:r>
      <w:r w:rsidRPr="00F4356D">
        <w:rPr>
          <w:rFonts w:ascii="Arial" w:hAnsi="Arial" w:cs="Arial"/>
          <w:sz w:val="24"/>
          <w:szCs w:val="24"/>
        </w:rPr>
        <w:t xml:space="preserve">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14:paraId="22BB1BD0"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Parágrafo único.</w:t>
      </w:r>
      <w:r w:rsidRPr="00F4356D">
        <w:rPr>
          <w:rFonts w:ascii="Arial" w:hAnsi="Arial" w:cs="Arial"/>
          <w:sz w:val="24"/>
          <w:szCs w:val="24"/>
        </w:rPr>
        <w:t xml:space="preserve"> O Poder Legislativo, observará o cumprimento do disposto neste artigo, mediante ato da mesa diretora da Câmara Municipal.</w:t>
      </w:r>
    </w:p>
    <w:p w14:paraId="7F26C6E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56</w:t>
      </w:r>
      <w:r w:rsidRPr="00F4356D">
        <w:rPr>
          <w:rFonts w:ascii="Arial" w:hAnsi="Arial" w:cs="Arial"/>
          <w:sz w:val="24"/>
          <w:szCs w:val="24"/>
        </w:rPr>
        <w:t>.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14:paraId="0DA9DC5F"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 - conceder vantagens e aumentar a remuneração de servidores;</w:t>
      </w:r>
    </w:p>
    <w:p w14:paraId="4877E893"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 - criar e extinguir cargos públicos e alterar a estrutura de carreiras;</w:t>
      </w:r>
    </w:p>
    <w:p w14:paraId="3B2234DB"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lastRenderedPageBreak/>
        <w:t>III – prover cargos efetivos, mediante concurso público, bem como efetuar contratações por tempo determinado para atender à necessidade temporária de excepcional interesse público, respeitada a legislação municipal vigente;</w:t>
      </w:r>
    </w:p>
    <w:p w14:paraId="2A528D2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IV – prover cargos em comissão e funções de confiança.</w:t>
      </w:r>
    </w:p>
    <w:p w14:paraId="3BFDD19B"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Também estão autorizadas as seguintes ações, relacionadas com a política de pessoal da Administração Municipal: </w:t>
      </w:r>
    </w:p>
    <w:p w14:paraId="135F093E"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 - proporcionar o desenvolvimento profissional de servidores municipais, mediante a realização de programas de treinamento;</w:t>
      </w:r>
    </w:p>
    <w:p w14:paraId="3FF25282"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 - proporcionar o desenvolvimento pessoal dos servidores municipais, mediante a realização de programas informativos, educativos e culturais;</w:t>
      </w:r>
    </w:p>
    <w:p w14:paraId="4E542DE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III - melhorar as condições de trabalho, equipamentos e infraestrutura, especialmente no que concerne à saúde, alimentação, transporte e segurança no trabalho.</w:t>
      </w:r>
    </w:p>
    <w:p w14:paraId="0E71C73F"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2º</w:t>
      </w:r>
      <w:r w:rsidRPr="00F4356D">
        <w:rPr>
          <w:rFonts w:ascii="Arial" w:hAnsi="Arial" w:cs="Arial"/>
          <w:sz w:val="24"/>
          <w:szCs w:val="24"/>
        </w:rPr>
        <w:t xml:space="preserve">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14:paraId="3DF56493"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 xml:space="preserve">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 </w:t>
      </w:r>
    </w:p>
    <w:p w14:paraId="0A202715"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 - declaração do ordenador de despesas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14:paraId="0E8815A4"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3º</w:t>
      </w:r>
      <w:r w:rsidRPr="00F4356D">
        <w:rPr>
          <w:rFonts w:ascii="Arial" w:hAnsi="Arial" w:cs="Arial"/>
          <w:sz w:val="24"/>
          <w:szCs w:val="24"/>
        </w:rPr>
        <w:t xml:space="preserve"> As estimativas de impacto orçamentário-financeiro e declaração do ordenador de despesas para o aumento dos gastos com pessoal, terão validade de 6 (seis) meses contados da data da sua elaboração, devendo tais documentos ser reelaborados na hipótese de não ser praticado, dentro deste prazo, o ato que resulte aumento da despesa com pessoal, </w:t>
      </w:r>
    </w:p>
    <w:p w14:paraId="15B2F33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4º</w:t>
      </w:r>
      <w:r w:rsidRPr="00F4356D">
        <w:rPr>
          <w:rFonts w:ascii="Arial" w:hAnsi="Arial" w:cs="Arial"/>
          <w:sz w:val="24"/>
          <w:szCs w:val="24"/>
        </w:rPr>
        <w:t xml:space="preserve"> No caso de aumento de despesas com pessoal do Poder Legislativo, deverão ser obedecidos, adicionalmente, os limites fixados nos arts. 29 e 29-A da Constituição Federal. </w:t>
      </w:r>
    </w:p>
    <w:p w14:paraId="0D297F7E"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5º</w:t>
      </w:r>
      <w:r w:rsidRPr="00F4356D">
        <w:rPr>
          <w:rFonts w:ascii="Arial" w:hAnsi="Arial" w:cs="Arial"/>
          <w:sz w:val="24"/>
          <w:szCs w:val="24"/>
        </w:rPr>
        <w:t xml:space="preserve"> Os atos que provoquem aumento da despesa de que tratam os incisos I, II, III e IV do Caput serão considerados nulos de pleno direito, caso impliquem no descumprimento das disposições dos incisos I e II do § 2º desta Lei.</w:t>
      </w:r>
    </w:p>
    <w:p w14:paraId="0C0CB794"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lastRenderedPageBreak/>
        <w:t>§ 6º</w:t>
      </w:r>
      <w:r w:rsidRPr="00F4356D">
        <w:rPr>
          <w:rFonts w:ascii="Arial" w:hAnsi="Arial" w:cs="Arial"/>
          <w:sz w:val="24"/>
          <w:szCs w:val="24"/>
        </w:rPr>
        <w:t xml:space="preserve">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14:paraId="5EEB6216"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7º</w:t>
      </w:r>
      <w:r w:rsidRPr="00F4356D">
        <w:rPr>
          <w:rFonts w:ascii="Arial" w:hAnsi="Arial" w:cs="Arial"/>
          <w:sz w:val="24"/>
          <w:szCs w:val="24"/>
        </w:rPr>
        <w:t xml:space="preserve"> Ficam dispensados, da estimativa de impacto orçamentário e financeiro, atos de concessão de vantagens já previstas na legislação pertinente, de caráter meramente declaratório bem como as despesas irrelevantes, até o valor estabelecido no art. 15, § 2º desta lei.</w:t>
      </w:r>
    </w:p>
    <w:p w14:paraId="071EBE1D" w14:textId="77777777" w:rsidR="00F4356D" w:rsidRPr="00F4356D" w:rsidRDefault="00F4356D" w:rsidP="00F4356D">
      <w:pPr>
        <w:spacing w:after="160" w:line="276" w:lineRule="auto"/>
        <w:ind w:right="-710"/>
        <w:jc w:val="both"/>
        <w:rPr>
          <w:rFonts w:ascii="Arial" w:hAnsi="Arial" w:cs="Arial"/>
          <w:sz w:val="24"/>
          <w:szCs w:val="24"/>
        </w:rPr>
      </w:pPr>
      <w:r w:rsidRPr="00F4356D">
        <w:rPr>
          <w:rFonts w:ascii="Arial" w:hAnsi="Arial" w:cs="Arial"/>
          <w:sz w:val="24"/>
          <w:szCs w:val="24"/>
        </w:rPr>
        <w:t xml:space="preserve"> </w:t>
      </w:r>
      <w:r w:rsidRPr="00F4356D">
        <w:rPr>
          <w:rFonts w:ascii="Arial" w:hAnsi="Arial" w:cs="Arial"/>
          <w:sz w:val="24"/>
          <w:szCs w:val="24"/>
        </w:rPr>
        <w:tab/>
      </w:r>
      <w:r w:rsidRPr="00F4356D">
        <w:rPr>
          <w:rFonts w:ascii="Arial" w:hAnsi="Arial" w:cs="Arial"/>
          <w:b/>
          <w:bCs/>
          <w:sz w:val="24"/>
          <w:szCs w:val="24"/>
        </w:rPr>
        <w:t>Art. 57.</w:t>
      </w:r>
      <w:r w:rsidRPr="00F4356D">
        <w:rPr>
          <w:rFonts w:ascii="Arial" w:hAnsi="Arial" w:cs="Arial"/>
          <w:sz w:val="24"/>
          <w:szCs w:val="24"/>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14:paraId="4170030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 – as situações de emergência ou de calamidade pública;</w:t>
      </w:r>
    </w:p>
    <w:p w14:paraId="0130E8A2"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 – as situações de risco iminente à segurança de pessoas ou bens;</w:t>
      </w:r>
    </w:p>
    <w:p w14:paraId="4C592E1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III – a relação custo-benefício se revelar mais favorável em relação a outra alternativa possível.</w:t>
      </w:r>
    </w:p>
    <w:p w14:paraId="144A451C"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Parágrafo único.</w:t>
      </w:r>
      <w:r w:rsidRPr="00F4356D">
        <w:rPr>
          <w:rFonts w:ascii="Arial" w:hAnsi="Arial" w:cs="Arial"/>
          <w:sz w:val="24"/>
          <w:szCs w:val="24"/>
        </w:rPr>
        <w:t xml:space="preserve"> A autorização para a realização de serviço extraordinário, no âmbito do Poder Executivo, nas condições estabelecidas neste artigo, é de exclusiva competência do Prefeito.</w:t>
      </w:r>
      <w:bookmarkEnd w:id="34"/>
    </w:p>
    <w:p w14:paraId="004A01D1" w14:textId="77777777" w:rsidR="00F4356D" w:rsidRPr="00F4356D" w:rsidRDefault="00F4356D" w:rsidP="00F4356D">
      <w:pPr>
        <w:spacing w:line="360" w:lineRule="auto"/>
        <w:ind w:right="-710"/>
        <w:jc w:val="center"/>
        <w:rPr>
          <w:rFonts w:ascii="Arial" w:hAnsi="Arial" w:cs="Arial"/>
          <w:b/>
          <w:bCs/>
          <w:sz w:val="24"/>
          <w:szCs w:val="24"/>
        </w:rPr>
      </w:pPr>
      <w:bookmarkStart w:id="35" w:name="_Toc515609487"/>
      <w:bookmarkStart w:id="36" w:name="_Toc45524665"/>
      <w:r w:rsidRPr="00F4356D">
        <w:rPr>
          <w:rFonts w:ascii="Arial" w:hAnsi="Arial" w:cs="Arial"/>
          <w:b/>
          <w:bCs/>
          <w:sz w:val="24"/>
          <w:szCs w:val="24"/>
        </w:rPr>
        <w:t>Capítulo VII - Das Alterações na Legislação Tributária</w:t>
      </w:r>
      <w:bookmarkEnd w:id="35"/>
      <w:bookmarkEnd w:id="36"/>
    </w:p>
    <w:p w14:paraId="32345CB5"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58.</w:t>
      </w:r>
      <w:r w:rsidRPr="00F4356D">
        <w:rPr>
          <w:rFonts w:ascii="Arial" w:hAnsi="Arial" w:cs="Arial"/>
          <w:sz w:val="24"/>
          <w:szCs w:val="24"/>
        </w:rPr>
        <w:t xml:space="preserve"> As receitas serão estimadas e discriminadas:</w:t>
      </w:r>
    </w:p>
    <w:p w14:paraId="1DD564EC"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 - considerando a legislação tributária vigente até a data do envio do projeto de lei orçamentária à Câmara Municipal;</w:t>
      </w:r>
    </w:p>
    <w:p w14:paraId="1E8D7971"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II - considerando, se for o caso, os efeitos das alterações na legislação tributária, resultantes de projetos de lei encaminhados à Câmara Municipal até a data de apresentação da proposta orçamentária de 2022, especialmente sobre:</w:t>
      </w:r>
    </w:p>
    <w:p w14:paraId="3478B75F"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a) atualização da planta genérica de valores do Município;</w:t>
      </w:r>
    </w:p>
    <w:p w14:paraId="161F90C1"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b) revisão, atualização ou adequação da legislação sobre o Imposto Predial e Territorial Urbano, suas alíquotas, forma de cálculo, condições de pagamento, descontos e isenções, inclusive com relação à progressividade desse imposto;</w:t>
      </w:r>
    </w:p>
    <w:p w14:paraId="5400FC6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c) revisão da legislação sobre o uso do solo, com redefinição dos limites da zona urbana municipal;</w:t>
      </w:r>
    </w:p>
    <w:p w14:paraId="44DFCF6A"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d) revisão da legislação referente ao Imposto Sobre Serviços de Qualquer Natureza;</w:t>
      </w:r>
    </w:p>
    <w:p w14:paraId="5924E0BC"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lastRenderedPageBreak/>
        <w:t>e) revisão da legislação aplicável ao Imposto Sobre Transmissão Inter Vivos de Bens Imóveis e de Direitos Reais sobre Imóveis;</w:t>
      </w:r>
    </w:p>
    <w:p w14:paraId="76CE7438"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f) instituição de novas taxas pela prestação de serviços públicos e pelo exercício do poder de polícia;</w:t>
      </w:r>
    </w:p>
    <w:p w14:paraId="694D8612"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g) revisão das isenções tributárias, para atender ao interesse público e à justiça social;</w:t>
      </w:r>
    </w:p>
    <w:p w14:paraId="5E1D58F3"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h) revisão das contribuições sociais, destinadas à seguridade social, cuja necessidade tenha sido evidenciada através de cálculo atuarial;</w:t>
      </w:r>
    </w:p>
    <w:p w14:paraId="26EA3826"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i) demais incentivos e benefícios fiscais.</w:t>
      </w:r>
    </w:p>
    <w:p w14:paraId="0278C36E"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59</w:t>
      </w:r>
      <w:r w:rsidRPr="00F4356D">
        <w:rPr>
          <w:rFonts w:ascii="Arial" w:hAnsi="Arial" w:cs="Arial"/>
          <w:sz w:val="24"/>
          <w:szCs w:val="24"/>
        </w:rPr>
        <w:t>.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14:paraId="6DEDFA3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60</w:t>
      </w:r>
      <w:r w:rsidRPr="00F4356D">
        <w:rPr>
          <w:rFonts w:ascii="Arial" w:hAnsi="Arial" w:cs="Arial"/>
          <w:sz w:val="24"/>
          <w:szCs w:val="24"/>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14:paraId="5DA53D71"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1º</w:t>
      </w:r>
      <w:r w:rsidRPr="00F4356D">
        <w:rPr>
          <w:rFonts w:ascii="Arial" w:hAnsi="Arial" w:cs="Arial"/>
          <w:sz w:val="24"/>
          <w:szCs w:val="24"/>
        </w:rPr>
        <w:t xml:space="preserve"> A concessão ou ampliação de incentivo ou benefício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14:paraId="2732F5A3"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a) aumento de receita proveniente de elevação de alíquota, ampliação da base de cálculo, majoração ou criação de tributo ou contribuição;</w:t>
      </w:r>
    </w:p>
    <w:p w14:paraId="69064308"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 xml:space="preserve">b) cancelamento, durante o período em que vigorar o benefício, de despesas em valor equivalente. </w:t>
      </w:r>
    </w:p>
    <w:p w14:paraId="30467B6D" w14:textId="77777777" w:rsidR="00F4356D" w:rsidRPr="00F4356D" w:rsidRDefault="00F4356D" w:rsidP="00F4356D">
      <w:pPr>
        <w:spacing w:after="160" w:line="276" w:lineRule="auto"/>
        <w:ind w:right="-710" w:firstLine="708"/>
        <w:jc w:val="both"/>
        <w:rPr>
          <w:rFonts w:ascii="Arial" w:hAnsi="Arial" w:cs="Arial"/>
          <w:sz w:val="24"/>
          <w:szCs w:val="24"/>
          <w:lang w:val="pt-PT" w:eastAsia="pt-PT"/>
        </w:rPr>
      </w:pPr>
      <w:r w:rsidRPr="00F4356D">
        <w:rPr>
          <w:rFonts w:ascii="Arial" w:hAnsi="Arial" w:cs="Arial"/>
          <w:b/>
          <w:bCs/>
          <w:sz w:val="24"/>
          <w:szCs w:val="24"/>
        </w:rPr>
        <w:t>§ 2º</w:t>
      </w:r>
      <w:r w:rsidRPr="00F4356D">
        <w:rPr>
          <w:rFonts w:ascii="Arial" w:hAnsi="Arial" w:cs="Arial"/>
          <w:sz w:val="24"/>
          <w:szCs w:val="24"/>
        </w:rPr>
        <w:t xml:space="preserve">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F4356D">
        <w:rPr>
          <w:rFonts w:ascii="Arial" w:hAnsi="Arial" w:cs="Arial"/>
          <w:sz w:val="24"/>
          <w:szCs w:val="24"/>
          <w:lang w:val="pt-PT" w:eastAsia="pt-PT"/>
        </w:rPr>
        <w:t xml:space="preserve">a variação do Índice Nacional de Preços ao Consumidor Amplo calculado pela Fundação Instituto Brasileiro de Geografia e Estatística - IBGE. </w:t>
      </w:r>
    </w:p>
    <w:p w14:paraId="1AF9BF32"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 3º</w:t>
      </w:r>
      <w:r w:rsidRPr="00F4356D">
        <w:rPr>
          <w:rFonts w:ascii="Arial" w:hAnsi="Arial" w:cs="Arial"/>
          <w:sz w:val="24"/>
          <w:szCs w:val="24"/>
        </w:rPr>
        <w:t xml:space="preserve"> Não se sujeitam às regras do §1º:</w:t>
      </w:r>
    </w:p>
    <w:p w14:paraId="7A28964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 xml:space="preserve">I </w:t>
      </w:r>
      <w:proofErr w:type="gramStart"/>
      <w:r w:rsidRPr="00F4356D">
        <w:rPr>
          <w:rFonts w:ascii="Arial" w:hAnsi="Arial" w:cs="Arial"/>
          <w:sz w:val="24"/>
          <w:szCs w:val="24"/>
        </w:rPr>
        <w:t>-  a</w:t>
      </w:r>
      <w:proofErr w:type="gramEnd"/>
      <w:r w:rsidRPr="00F4356D">
        <w:rPr>
          <w:rFonts w:ascii="Arial" w:hAnsi="Arial" w:cs="Arial"/>
          <w:sz w:val="24"/>
          <w:szCs w:val="24"/>
        </w:rPr>
        <w:t xml:space="preserve"> homologação de pedidos de isenção, remissão ou anistia apresentados com base na legislação municipal preexistente;</w:t>
      </w:r>
    </w:p>
    <w:p w14:paraId="021A6669"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lastRenderedPageBreak/>
        <w:t>II – a concessão de incentivos ou benefícios fiscais de natureza tributária ou não tributária cujo impacto seja irrelevante, assim considerado o limite de 5 (cinco) % da Receita Corrente Líquida prevista para o exercício de 2022.</w:t>
      </w:r>
    </w:p>
    <w:p w14:paraId="49D76F3C"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sz w:val="24"/>
          <w:szCs w:val="24"/>
        </w:rPr>
        <w:t xml:space="preserve">III – </w:t>
      </w:r>
      <w:proofErr w:type="gramStart"/>
      <w:r w:rsidRPr="00F4356D">
        <w:rPr>
          <w:rFonts w:ascii="Arial" w:hAnsi="Arial" w:cs="Arial"/>
          <w:sz w:val="24"/>
          <w:szCs w:val="24"/>
        </w:rPr>
        <w:t>os  incentivos</w:t>
      </w:r>
      <w:proofErr w:type="gramEnd"/>
      <w:r w:rsidRPr="00F4356D">
        <w:rPr>
          <w:rFonts w:ascii="Arial" w:hAnsi="Arial" w:cs="Arial"/>
          <w:sz w:val="24"/>
          <w:szCs w:val="24"/>
        </w:rPr>
        <w:t xml:space="preserve"> ou benefícios fiscais de natureza tributária ou não tributária concedidos de acordo com as disposições do art.65, § 1º, III, da Lei Complementar nº 101/2000.</w:t>
      </w:r>
    </w:p>
    <w:p w14:paraId="68D32744"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61</w:t>
      </w:r>
      <w:r w:rsidRPr="00F4356D">
        <w:rPr>
          <w:rFonts w:ascii="Arial" w:hAnsi="Arial" w:cs="Arial"/>
          <w:sz w:val="24"/>
          <w:szCs w:val="24"/>
        </w:rPr>
        <w:t>.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14:paraId="07963DB7" w14:textId="77777777" w:rsidR="00F4356D" w:rsidRPr="00F4356D" w:rsidRDefault="00F4356D" w:rsidP="00F4356D">
      <w:pPr>
        <w:spacing w:line="276" w:lineRule="auto"/>
        <w:ind w:right="-710"/>
        <w:jc w:val="center"/>
        <w:rPr>
          <w:rFonts w:ascii="Arial" w:hAnsi="Arial" w:cs="Arial"/>
          <w:b/>
          <w:bCs/>
          <w:sz w:val="24"/>
          <w:szCs w:val="24"/>
        </w:rPr>
      </w:pPr>
      <w:bookmarkStart w:id="37" w:name="_Toc515609489"/>
      <w:bookmarkStart w:id="38" w:name="_Toc45524666"/>
    </w:p>
    <w:p w14:paraId="29CA3913" w14:textId="77777777" w:rsidR="00F4356D" w:rsidRPr="00F4356D" w:rsidRDefault="00F4356D" w:rsidP="00F4356D">
      <w:pPr>
        <w:spacing w:line="360" w:lineRule="auto"/>
        <w:ind w:right="-710"/>
        <w:jc w:val="center"/>
        <w:rPr>
          <w:rFonts w:ascii="Arial" w:hAnsi="Arial" w:cs="Arial"/>
          <w:b/>
          <w:bCs/>
          <w:sz w:val="24"/>
          <w:szCs w:val="24"/>
        </w:rPr>
      </w:pPr>
      <w:r w:rsidRPr="00F4356D">
        <w:rPr>
          <w:rFonts w:ascii="Arial" w:hAnsi="Arial" w:cs="Arial"/>
          <w:b/>
          <w:bCs/>
          <w:sz w:val="24"/>
          <w:szCs w:val="24"/>
        </w:rPr>
        <w:t>Capítulo VIII - Das Disposições Gerais</w:t>
      </w:r>
      <w:bookmarkEnd w:id="37"/>
      <w:bookmarkEnd w:id="38"/>
    </w:p>
    <w:p w14:paraId="4DFC4C18"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62</w:t>
      </w:r>
      <w:r w:rsidRPr="00F4356D">
        <w:rPr>
          <w:rFonts w:ascii="Arial" w:hAnsi="Arial" w:cs="Arial"/>
          <w:sz w:val="24"/>
          <w:szCs w:val="24"/>
        </w:rPr>
        <w:t xml:space="preserve">.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14:paraId="6300056A"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Parágrafo único</w:t>
      </w:r>
      <w:r w:rsidRPr="00F4356D">
        <w:rPr>
          <w:rFonts w:ascii="Arial" w:hAnsi="Arial" w:cs="Arial"/>
          <w:sz w:val="24"/>
          <w:szCs w:val="24"/>
        </w:rPr>
        <w:t xml:space="preserve">. A Lei Orçamentária anual, ou seus créditos adicionais, deverão contemplar recursos orçamentários suficientes para o atendimento das despesas de que trata o </w:t>
      </w:r>
      <w:r w:rsidRPr="00F4356D">
        <w:rPr>
          <w:rFonts w:ascii="Arial" w:hAnsi="Arial" w:cs="Arial"/>
          <w:i/>
          <w:sz w:val="24"/>
          <w:szCs w:val="24"/>
        </w:rPr>
        <w:t>caput</w:t>
      </w:r>
      <w:r w:rsidRPr="00F4356D">
        <w:rPr>
          <w:rFonts w:ascii="Arial" w:hAnsi="Arial" w:cs="Arial"/>
          <w:sz w:val="24"/>
          <w:szCs w:val="24"/>
        </w:rPr>
        <w:t xml:space="preserve"> deste artigo.</w:t>
      </w:r>
    </w:p>
    <w:p w14:paraId="12DCA56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63</w:t>
      </w:r>
      <w:r w:rsidRPr="00F4356D">
        <w:rPr>
          <w:rFonts w:ascii="Arial" w:hAnsi="Arial" w:cs="Arial"/>
          <w:sz w:val="24"/>
          <w:szCs w:val="24"/>
        </w:rPr>
        <w:t xml:space="preserve">.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14:paraId="35C2177E"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64</w:t>
      </w:r>
      <w:r w:rsidRPr="00F4356D">
        <w:rPr>
          <w:rFonts w:ascii="Arial" w:hAnsi="Arial" w:cs="Arial"/>
          <w:sz w:val="24"/>
          <w:szCs w:val="24"/>
        </w:rPr>
        <w:t xml:space="preserve">. Em consonância com o que dispõe o § 5º do art. 166 da Constituição Federal e o </w:t>
      </w:r>
      <w:r w:rsidRPr="00F4356D">
        <w:rPr>
          <w:rFonts w:ascii="Arial" w:eastAsia="Calibri" w:hAnsi="Arial" w:cs="Arial"/>
          <w:bCs/>
          <w:iCs/>
          <w:sz w:val="24"/>
          <w:szCs w:val="24"/>
          <w:lang w:eastAsia="en-US"/>
        </w:rPr>
        <w:t>§ 5º do art. 110 da Lei Orgânica Municipal</w:t>
      </w:r>
      <w:r w:rsidRPr="00F4356D">
        <w:rPr>
          <w:rFonts w:ascii="Arial" w:hAnsi="Arial" w:cs="Arial"/>
          <w:sz w:val="24"/>
          <w:szCs w:val="24"/>
        </w:rPr>
        <w:t>, poderá o Prefeito enviar Mensagem à Câmara Municipal para propor modificações aos projetos de lei orçamentária enquanto não estiver concluída a votação da parte cuja alteração é proposta.</w:t>
      </w:r>
    </w:p>
    <w:p w14:paraId="720C03A7"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65</w:t>
      </w:r>
      <w:r w:rsidRPr="00F4356D">
        <w:rPr>
          <w:rFonts w:ascii="Arial" w:hAnsi="Arial" w:cs="Arial"/>
          <w:sz w:val="24"/>
          <w:szCs w:val="24"/>
        </w:rPr>
        <w:t xml:space="preserve"> Fica facultado ao Poder Executivo publicar no órgão oficial de imprensa, de forma simplificada, a Lei Orçamentária Anual bem como as leis e os decretos de abertura dos créditos adicionais.</w:t>
      </w:r>
    </w:p>
    <w:p w14:paraId="51F5176D"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66</w:t>
      </w:r>
      <w:r w:rsidRPr="00F4356D">
        <w:rPr>
          <w:rFonts w:ascii="Arial" w:hAnsi="Arial" w:cs="Arial"/>
          <w:sz w:val="24"/>
          <w:szCs w:val="24"/>
        </w:rPr>
        <w:t>. Fica autorizada a retificação e republicação da Lei Orçamentária e dos Créditos Adicionais, nos casos de inexatidões formais.</w:t>
      </w:r>
    </w:p>
    <w:p w14:paraId="429090E1" w14:textId="08EE124A" w:rsidR="00F4356D" w:rsidRPr="00F4356D" w:rsidRDefault="00F4356D" w:rsidP="00F4356D">
      <w:pPr>
        <w:spacing w:after="160" w:line="276" w:lineRule="auto"/>
        <w:ind w:right="-710" w:firstLine="708"/>
        <w:jc w:val="both"/>
        <w:rPr>
          <w:rFonts w:ascii="Arial" w:eastAsia="SimSun" w:hAnsi="Arial" w:cs="Arial"/>
          <w:color w:val="000000"/>
          <w:sz w:val="24"/>
          <w:szCs w:val="24"/>
          <w:lang w:eastAsia="zh-CN"/>
        </w:rPr>
      </w:pPr>
      <w:r w:rsidRPr="00F4356D">
        <w:rPr>
          <w:rFonts w:ascii="Arial" w:hAnsi="Arial" w:cs="Arial"/>
          <w:b/>
          <w:bCs/>
          <w:sz w:val="24"/>
          <w:szCs w:val="24"/>
        </w:rPr>
        <w:lastRenderedPageBreak/>
        <w:t>Parágrafo único</w:t>
      </w:r>
      <w:r w:rsidRPr="00F4356D">
        <w:rPr>
          <w:rFonts w:ascii="Arial" w:hAnsi="Arial" w:cs="Arial"/>
          <w:sz w:val="24"/>
          <w:szCs w:val="24"/>
        </w:rPr>
        <w:t xml:space="preserve">. Para os fins do disposto no caput consideram-se inexatidões formais quaisquer inconformidades com a legislação vigente, da codificação ou descrição de órgãos, unidades orçamentárias, funções, subfunções, programas, ações, natureza da despesa ou da receita e fontes de recursos, desde que </w:t>
      </w:r>
      <w:r w:rsidRPr="00F4356D">
        <w:rPr>
          <w:rFonts w:ascii="Arial" w:eastAsia="SimSun" w:hAnsi="Arial" w:cs="Arial"/>
          <w:color w:val="000000"/>
          <w:sz w:val="24"/>
          <w:szCs w:val="24"/>
          <w:lang w:eastAsia="zh-CN"/>
        </w:rPr>
        <w:t>não impliquem em mudança de valores e de finalidade da programação.</w:t>
      </w:r>
    </w:p>
    <w:p w14:paraId="3F12F13D" w14:textId="77777777" w:rsidR="00F4356D" w:rsidRPr="00F4356D" w:rsidRDefault="00F4356D" w:rsidP="00F4356D">
      <w:pPr>
        <w:spacing w:after="160" w:line="276" w:lineRule="auto"/>
        <w:ind w:right="-710" w:firstLine="708"/>
        <w:jc w:val="both"/>
        <w:rPr>
          <w:rFonts w:ascii="Arial" w:hAnsi="Arial" w:cs="Arial"/>
          <w:sz w:val="24"/>
          <w:szCs w:val="24"/>
        </w:rPr>
      </w:pPr>
      <w:r w:rsidRPr="00F4356D">
        <w:rPr>
          <w:rFonts w:ascii="Arial" w:hAnsi="Arial" w:cs="Arial"/>
          <w:b/>
          <w:bCs/>
          <w:sz w:val="24"/>
          <w:szCs w:val="24"/>
        </w:rPr>
        <w:t>Art. 67</w:t>
      </w:r>
      <w:r w:rsidRPr="00F4356D">
        <w:rPr>
          <w:rFonts w:ascii="Arial" w:hAnsi="Arial" w:cs="Arial"/>
          <w:sz w:val="24"/>
          <w:szCs w:val="24"/>
        </w:rPr>
        <w:t>. Esta Lei entra em vigor na data de sua publicação.</w:t>
      </w:r>
    </w:p>
    <w:p w14:paraId="04CB897C" w14:textId="0F6614A5" w:rsidR="00BA2DB2" w:rsidRDefault="00BA2DB2" w:rsidP="00350802">
      <w:pPr>
        <w:pStyle w:val="Ttulo"/>
        <w:ind w:left="-709" w:right="-568"/>
        <w:jc w:val="both"/>
        <w:rPr>
          <w:rFonts w:ascii="Arial" w:hAnsi="Arial" w:cs="Arial"/>
          <w:sz w:val="24"/>
          <w:szCs w:val="24"/>
        </w:rPr>
      </w:pPr>
    </w:p>
    <w:p w14:paraId="25CBB62C" w14:textId="77777777" w:rsidR="00BA2DB2" w:rsidRDefault="00BA2DB2" w:rsidP="00350802">
      <w:pPr>
        <w:pStyle w:val="Ttulo"/>
        <w:ind w:left="-709" w:right="-568"/>
        <w:jc w:val="both"/>
        <w:rPr>
          <w:rFonts w:ascii="Arial" w:hAnsi="Arial" w:cs="Arial"/>
          <w:sz w:val="24"/>
          <w:szCs w:val="24"/>
        </w:rPr>
      </w:pPr>
    </w:p>
    <w:p w14:paraId="13982F0C" w14:textId="4B36B72F" w:rsidR="00EB418D" w:rsidRDefault="00EB418D" w:rsidP="00EB418D">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w:t>
      </w:r>
      <w:r w:rsidR="00D77FC7">
        <w:rPr>
          <w:rFonts w:ascii="Arial" w:hAnsi="Arial" w:cs="Arial"/>
          <w:sz w:val="24"/>
          <w:szCs w:val="24"/>
        </w:rPr>
        <w:t>15</w:t>
      </w:r>
      <w:r>
        <w:rPr>
          <w:rFonts w:ascii="Arial" w:hAnsi="Arial" w:cs="Arial"/>
          <w:sz w:val="24"/>
          <w:szCs w:val="24"/>
        </w:rPr>
        <w:t xml:space="preserve"> de </w:t>
      </w:r>
      <w:r w:rsidR="003632ED">
        <w:rPr>
          <w:rFonts w:ascii="Arial" w:hAnsi="Arial" w:cs="Arial"/>
          <w:sz w:val="24"/>
          <w:szCs w:val="24"/>
        </w:rPr>
        <w:t xml:space="preserve">dezembro </w:t>
      </w:r>
      <w:r w:rsidRPr="00D60C10">
        <w:rPr>
          <w:rFonts w:ascii="Arial" w:hAnsi="Arial" w:cs="Arial"/>
          <w:sz w:val="24"/>
          <w:szCs w:val="24"/>
        </w:rPr>
        <w:t>de 20</w:t>
      </w:r>
      <w:r>
        <w:rPr>
          <w:rFonts w:ascii="Arial" w:hAnsi="Arial" w:cs="Arial"/>
          <w:sz w:val="24"/>
          <w:szCs w:val="24"/>
        </w:rPr>
        <w:t>21</w:t>
      </w:r>
      <w:r w:rsidRPr="00D60C10">
        <w:rPr>
          <w:rFonts w:ascii="Arial" w:hAnsi="Arial" w:cs="Arial"/>
          <w:sz w:val="24"/>
          <w:szCs w:val="24"/>
        </w:rPr>
        <w:t>.</w:t>
      </w:r>
    </w:p>
    <w:p w14:paraId="5051A664" w14:textId="77777777" w:rsidR="00EB418D" w:rsidRDefault="00EB418D" w:rsidP="00EB418D">
      <w:pPr>
        <w:tabs>
          <w:tab w:val="left" w:pos="426"/>
        </w:tabs>
        <w:spacing w:line="360" w:lineRule="auto"/>
        <w:ind w:left="-1418" w:right="-853"/>
        <w:jc w:val="center"/>
        <w:rPr>
          <w:rFonts w:ascii="Arial" w:hAnsi="Arial" w:cs="Arial"/>
          <w:sz w:val="24"/>
          <w:szCs w:val="24"/>
        </w:rPr>
      </w:pPr>
    </w:p>
    <w:p w14:paraId="67692BA8" w14:textId="77777777" w:rsidR="00EB418D" w:rsidRDefault="00EB418D" w:rsidP="00EB418D">
      <w:pPr>
        <w:tabs>
          <w:tab w:val="left" w:pos="426"/>
        </w:tabs>
        <w:spacing w:line="360" w:lineRule="auto"/>
        <w:ind w:left="-1418" w:right="-853"/>
        <w:jc w:val="center"/>
        <w:rPr>
          <w:rFonts w:ascii="Arial" w:hAnsi="Arial" w:cs="Arial"/>
          <w:sz w:val="24"/>
          <w:szCs w:val="24"/>
        </w:rPr>
      </w:pPr>
    </w:p>
    <w:p w14:paraId="48BCCA5C" w14:textId="77777777" w:rsidR="00EB418D" w:rsidRPr="006F653F" w:rsidRDefault="00EB418D" w:rsidP="00EB418D">
      <w:pPr>
        <w:ind w:left="-709"/>
        <w:jc w:val="center"/>
        <w:rPr>
          <w:rFonts w:ascii="Arial" w:hAnsi="Arial" w:cs="Arial"/>
          <w:noProof/>
          <w:sz w:val="22"/>
          <w:szCs w:val="22"/>
        </w:rPr>
      </w:pPr>
      <w:r>
        <w:rPr>
          <w:rFonts w:ascii="Arial" w:hAnsi="Arial" w:cs="Arial"/>
          <w:noProof/>
          <w:sz w:val="22"/>
          <w:szCs w:val="22"/>
        </w:rPr>
        <w:t>João Pedro F. F. Pazuch</w:t>
      </w:r>
      <w:r w:rsidRPr="006F653F">
        <w:rPr>
          <w:rFonts w:ascii="Arial" w:hAnsi="Arial" w:cs="Arial"/>
          <w:noProof/>
          <w:sz w:val="22"/>
          <w:szCs w:val="22"/>
        </w:rPr>
        <w:t xml:space="preserve">                         </w:t>
      </w:r>
      <w:r>
        <w:rPr>
          <w:rFonts w:ascii="Arial" w:hAnsi="Arial" w:cs="Arial"/>
          <w:noProof/>
          <w:sz w:val="22"/>
          <w:szCs w:val="22"/>
        </w:rPr>
        <w:t>Marcelo Kerber</w:t>
      </w:r>
    </w:p>
    <w:p w14:paraId="0DAC0EB5" w14:textId="77777777" w:rsidR="00EB418D" w:rsidRPr="006F653F" w:rsidRDefault="00EB418D" w:rsidP="00EB418D">
      <w:pPr>
        <w:ind w:left="-709"/>
        <w:jc w:val="center"/>
        <w:rPr>
          <w:rFonts w:ascii="Arial" w:hAnsi="Arial" w:cs="Arial"/>
          <w:noProof/>
          <w:sz w:val="18"/>
          <w:szCs w:val="18"/>
        </w:rPr>
      </w:pPr>
      <w:r w:rsidRPr="006F653F">
        <w:rPr>
          <w:rFonts w:ascii="Arial" w:hAnsi="Arial" w:cs="Arial"/>
          <w:noProof/>
          <w:sz w:val="18"/>
          <w:szCs w:val="18"/>
        </w:rPr>
        <w:t xml:space="preserve">Presidente                   </w:t>
      </w:r>
      <w:r>
        <w:rPr>
          <w:rFonts w:ascii="Arial" w:hAnsi="Arial" w:cs="Arial"/>
          <w:noProof/>
          <w:sz w:val="18"/>
          <w:szCs w:val="18"/>
        </w:rPr>
        <w:t xml:space="preserve">              </w:t>
      </w:r>
      <w:r w:rsidRPr="006F653F">
        <w:rPr>
          <w:rFonts w:ascii="Arial" w:hAnsi="Arial" w:cs="Arial"/>
          <w:noProof/>
          <w:sz w:val="18"/>
          <w:szCs w:val="18"/>
        </w:rPr>
        <w:t xml:space="preserve">                          Diretor</w:t>
      </w:r>
    </w:p>
    <w:p w14:paraId="1CBCDCB8" w14:textId="77777777" w:rsidR="00EB418D" w:rsidRPr="006F653F" w:rsidRDefault="00EB418D" w:rsidP="00EB418D">
      <w:pPr>
        <w:ind w:left="-709"/>
        <w:jc w:val="center"/>
        <w:rPr>
          <w:rFonts w:ascii="Arial" w:hAnsi="Arial" w:cs="Arial"/>
          <w:noProof/>
          <w:sz w:val="18"/>
          <w:szCs w:val="18"/>
        </w:rPr>
      </w:pPr>
      <w:r>
        <w:rPr>
          <w:rFonts w:ascii="Arial" w:hAnsi="Arial" w:cs="Arial"/>
          <w:noProof/>
          <w:sz w:val="18"/>
          <w:szCs w:val="18"/>
        </w:rPr>
        <w:t xml:space="preserve">  </w:t>
      </w:r>
      <w:r w:rsidRPr="006F653F">
        <w:rPr>
          <w:rFonts w:ascii="Arial" w:hAnsi="Arial" w:cs="Arial"/>
          <w:noProof/>
          <w:sz w:val="18"/>
          <w:szCs w:val="18"/>
        </w:rPr>
        <w:t xml:space="preserve">Câmara Municipal de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Câmara Municipal de </w:t>
      </w:r>
    </w:p>
    <w:p w14:paraId="146C43B5" w14:textId="77777777" w:rsidR="00EB418D" w:rsidRDefault="00EB418D" w:rsidP="00EB418D">
      <w:pPr>
        <w:ind w:left="-709"/>
        <w:rPr>
          <w:rFonts w:ascii="Arial" w:hAnsi="Arial" w:cs="Arial"/>
          <w:noProof/>
          <w:sz w:val="24"/>
          <w:szCs w:val="24"/>
        </w:rPr>
      </w:pP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Vereadores de Bom Retiro do Sul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Vereadores de Bom Retiro do Sul</w:t>
      </w:r>
      <w:r>
        <w:rPr>
          <w:rFonts w:ascii="Arial" w:hAnsi="Arial" w:cs="Arial"/>
          <w:noProof/>
          <w:sz w:val="24"/>
          <w:szCs w:val="24"/>
        </w:rPr>
        <w:t xml:space="preserve"> </w:t>
      </w:r>
    </w:p>
    <w:p w14:paraId="3738A82A" w14:textId="77777777" w:rsidR="00EB418D" w:rsidRPr="00EB418D" w:rsidRDefault="00EB418D" w:rsidP="00EB418D">
      <w:pPr>
        <w:rPr>
          <w:rFonts w:ascii="Arial" w:hAnsi="Arial" w:cs="Arial"/>
          <w:sz w:val="24"/>
        </w:rPr>
      </w:pPr>
    </w:p>
    <w:sectPr w:rsidR="00EB418D" w:rsidRPr="00EB418D" w:rsidSect="00FA13E1">
      <w:headerReference w:type="default" r:id="rId8"/>
      <w:pgSz w:w="11906" w:h="16838"/>
      <w:pgMar w:top="227" w:right="1416" w:bottom="284" w:left="21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3F53E" w14:textId="77777777" w:rsidR="000977C0" w:rsidRDefault="000977C0" w:rsidP="008C505E">
      <w:r>
        <w:separator/>
      </w:r>
    </w:p>
  </w:endnote>
  <w:endnote w:type="continuationSeparator" w:id="0">
    <w:p w14:paraId="5D251033" w14:textId="77777777" w:rsidR="000977C0" w:rsidRDefault="000977C0"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B10F8" w14:textId="77777777" w:rsidR="000977C0" w:rsidRDefault="000977C0" w:rsidP="008C505E">
      <w:r>
        <w:separator/>
      </w:r>
    </w:p>
  </w:footnote>
  <w:footnote w:type="continuationSeparator" w:id="0">
    <w:p w14:paraId="41408ACA" w14:textId="77777777" w:rsidR="000977C0" w:rsidRDefault="000977C0"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77777777" w:rsidR="008C505E" w:rsidRPr="008C505E" w:rsidRDefault="008C505E" w:rsidP="00A05D63">
    <w:pPr>
      <w:ind w:firstLine="567"/>
      <w:jc w:val="center"/>
      <w:rPr>
        <w:b/>
        <w:sz w:val="28"/>
        <w:szCs w:val="28"/>
      </w:rPr>
    </w:pPr>
    <w:r w:rsidRPr="008C505E">
      <w:rPr>
        <w:noProof/>
      </w:rPr>
      <w:drawing>
        <wp:anchor distT="0" distB="0" distL="114300" distR="114300" simplePos="0" relativeHeight="251660288" behindDoc="0" locked="0" layoutInCell="1" allowOverlap="1" wp14:anchorId="2996221D" wp14:editId="6859E0A2">
          <wp:simplePos x="0" y="0"/>
          <wp:positionH relativeFrom="margin">
            <wp:posOffset>-779145</wp:posOffset>
          </wp:positionH>
          <wp:positionV relativeFrom="paragraph">
            <wp:posOffset>16510</wp:posOffset>
          </wp:positionV>
          <wp:extent cx="904875" cy="883634"/>
          <wp:effectExtent l="0" t="0" r="0" b="0"/>
          <wp:wrapNone/>
          <wp:docPr id="7" name="Imagem 7"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399" cy="887075"/>
                  </a:xfrm>
                  <a:prstGeom prst="rect">
                    <a:avLst/>
                  </a:prstGeom>
                  <a:noFill/>
                </pic:spPr>
              </pic:pic>
            </a:graphicData>
          </a:graphic>
          <wp14:sizeRelH relativeFrom="page">
            <wp14:pctWidth>0</wp14:pctWidth>
          </wp14:sizeRelH>
          <wp14:sizeRelV relativeFrom="page">
            <wp14:pctHeight>0</wp14:pctHeight>
          </wp14:sizeRelV>
        </wp:anchor>
      </w:drawing>
    </w:r>
    <w:r w:rsidRPr="008C505E">
      <w:rPr>
        <w:noProof/>
      </w:rPr>
      <w:drawing>
        <wp:anchor distT="0" distB="0" distL="114300" distR="114300" simplePos="0" relativeHeight="251659264" behindDoc="0" locked="0" layoutInCell="1" allowOverlap="1" wp14:anchorId="54C4C9F7" wp14:editId="1C84FCF2">
          <wp:simplePos x="0" y="0"/>
          <wp:positionH relativeFrom="margin">
            <wp:posOffset>5320665</wp:posOffset>
          </wp:positionH>
          <wp:positionV relativeFrom="paragraph">
            <wp:posOffset>95885</wp:posOffset>
          </wp:positionV>
          <wp:extent cx="542925" cy="756285"/>
          <wp:effectExtent l="0" t="0" r="9525" b="5715"/>
          <wp:wrapNone/>
          <wp:docPr id="8" name="Imagem 8"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Pr="008C505E">
      <w:rPr>
        <w:b/>
        <w:sz w:val="28"/>
        <w:szCs w:val="28"/>
      </w:rPr>
      <w:t>PODER LEGISLATIVO DE BOM RETIRO DO SUL – RS</w:t>
    </w:r>
  </w:p>
  <w:p w14:paraId="2A7F0DE5" w14:textId="77777777" w:rsidR="008C505E" w:rsidRPr="008C505E" w:rsidRDefault="008C505E" w:rsidP="008C505E">
    <w:pPr>
      <w:jc w:val="center"/>
      <w:rPr>
        <w:sz w:val="18"/>
        <w:szCs w:val="18"/>
      </w:rPr>
    </w:pPr>
    <w:r w:rsidRPr="008C505E">
      <w:rPr>
        <w:sz w:val="18"/>
        <w:szCs w:val="18"/>
      </w:rPr>
      <w:t>RUA REINALDO NOSCHANG, 80 CEP 95870-000</w:t>
    </w:r>
  </w:p>
  <w:p w14:paraId="6744DBF0" w14:textId="77777777" w:rsidR="008C505E" w:rsidRPr="008C505E" w:rsidRDefault="008C505E" w:rsidP="008C505E">
    <w:pPr>
      <w:jc w:val="center"/>
      <w:rPr>
        <w:sz w:val="18"/>
        <w:szCs w:val="18"/>
      </w:rPr>
    </w:pPr>
    <w:r w:rsidRPr="008C505E">
      <w:rPr>
        <w:sz w:val="18"/>
        <w:szCs w:val="18"/>
      </w:rPr>
      <w:t>Tel. Fax. 51 3766-1187 - CNPJ 92.454.925/0001-20</w:t>
    </w:r>
  </w:p>
  <w:p w14:paraId="57B6668B" w14:textId="77777777" w:rsidR="008C505E" w:rsidRPr="008C505E" w:rsidRDefault="000977C0"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0977C0"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5"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6"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7"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0" w15:restartNumberingAfterBreak="0">
    <w:nsid w:val="2E4C441C"/>
    <w:multiLevelType w:val="hybridMultilevel"/>
    <w:tmpl w:val="5ABEADBC"/>
    <w:lvl w:ilvl="0" w:tplc="A4CEF3F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2"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3"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4"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5"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6" w15:restartNumberingAfterBreak="0">
    <w:nsid w:val="68ED1902"/>
    <w:multiLevelType w:val="hybridMultilevel"/>
    <w:tmpl w:val="1CCC43E0"/>
    <w:lvl w:ilvl="0" w:tplc="D9D671C6">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8"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9"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6"/>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
  </w:num>
  <w:num w:numId="13">
    <w:abstractNumId w:val="2"/>
  </w:num>
  <w:num w:numId="14">
    <w:abstractNumId w:val="8"/>
  </w:num>
  <w:num w:numId="15">
    <w:abstractNumId w:val="19"/>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12BE6"/>
    <w:rsid w:val="00014A81"/>
    <w:rsid w:val="00025289"/>
    <w:rsid w:val="00025680"/>
    <w:rsid w:val="00035B51"/>
    <w:rsid w:val="00036B93"/>
    <w:rsid w:val="00040F42"/>
    <w:rsid w:val="00042CE1"/>
    <w:rsid w:val="00044566"/>
    <w:rsid w:val="000448B3"/>
    <w:rsid w:val="0004723C"/>
    <w:rsid w:val="000504C4"/>
    <w:rsid w:val="000611CE"/>
    <w:rsid w:val="00072689"/>
    <w:rsid w:val="00075ECD"/>
    <w:rsid w:val="00091353"/>
    <w:rsid w:val="000977C0"/>
    <w:rsid w:val="000A534F"/>
    <w:rsid w:val="000A7B08"/>
    <w:rsid w:val="000B2F50"/>
    <w:rsid w:val="000B5F37"/>
    <w:rsid w:val="000C43E3"/>
    <w:rsid w:val="000E0DF7"/>
    <w:rsid w:val="000E1F4A"/>
    <w:rsid w:val="000E6ABE"/>
    <w:rsid w:val="000F57DD"/>
    <w:rsid w:val="00106584"/>
    <w:rsid w:val="00110952"/>
    <w:rsid w:val="00117C86"/>
    <w:rsid w:val="00121BEB"/>
    <w:rsid w:val="00126636"/>
    <w:rsid w:val="001368CC"/>
    <w:rsid w:val="001544D7"/>
    <w:rsid w:val="001545DD"/>
    <w:rsid w:val="00164986"/>
    <w:rsid w:val="001657DF"/>
    <w:rsid w:val="00166AC3"/>
    <w:rsid w:val="00170B65"/>
    <w:rsid w:val="001772E9"/>
    <w:rsid w:val="00196BC8"/>
    <w:rsid w:val="001A60A8"/>
    <w:rsid w:val="001B0F34"/>
    <w:rsid w:val="001B4557"/>
    <w:rsid w:val="001C02AE"/>
    <w:rsid w:val="001C0CC4"/>
    <w:rsid w:val="001C2150"/>
    <w:rsid w:val="001C6D3E"/>
    <w:rsid w:val="001E0484"/>
    <w:rsid w:val="001E0749"/>
    <w:rsid w:val="001E2F99"/>
    <w:rsid w:val="001E3731"/>
    <w:rsid w:val="001F2F72"/>
    <w:rsid w:val="0020175A"/>
    <w:rsid w:val="00211F2F"/>
    <w:rsid w:val="00216526"/>
    <w:rsid w:val="0022104D"/>
    <w:rsid w:val="002223C5"/>
    <w:rsid w:val="00230322"/>
    <w:rsid w:val="00244162"/>
    <w:rsid w:val="00245730"/>
    <w:rsid w:val="002722C7"/>
    <w:rsid w:val="0028114E"/>
    <w:rsid w:val="002820AC"/>
    <w:rsid w:val="00282D5D"/>
    <w:rsid w:val="00285987"/>
    <w:rsid w:val="00291FD8"/>
    <w:rsid w:val="0029348E"/>
    <w:rsid w:val="00293BA3"/>
    <w:rsid w:val="002B2B9B"/>
    <w:rsid w:val="002B58F4"/>
    <w:rsid w:val="002B6C0A"/>
    <w:rsid w:val="002C2234"/>
    <w:rsid w:val="002D126C"/>
    <w:rsid w:val="002D3CEE"/>
    <w:rsid w:val="002E06E7"/>
    <w:rsid w:val="002E0A9C"/>
    <w:rsid w:val="002E456E"/>
    <w:rsid w:val="002F2719"/>
    <w:rsid w:val="002F35D5"/>
    <w:rsid w:val="00301155"/>
    <w:rsid w:val="00302F65"/>
    <w:rsid w:val="0030512A"/>
    <w:rsid w:val="00312D01"/>
    <w:rsid w:val="003245D4"/>
    <w:rsid w:val="0033491D"/>
    <w:rsid w:val="00336B75"/>
    <w:rsid w:val="00344C2D"/>
    <w:rsid w:val="00345FD6"/>
    <w:rsid w:val="00350802"/>
    <w:rsid w:val="00353F64"/>
    <w:rsid w:val="003632ED"/>
    <w:rsid w:val="0037481D"/>
    <w:rsid w:val="0038044B"/>
    <w:rsid w:val="00392944"/>
    <w:rsid w:val="00394AB7"/>
    <w:rsid w:val="003A0567"/>
    <w:rsid w:val="003A6A6C"/>
    <w:rsid w:val="003B14A3"/>
    <w:rsid w:val="003B7826"/>
    <w:rsid w:val="003C07B2"/>
    <w:rsid w:val="003C183F"/>
    <w:rsid w:val="003C34D3"/>
    <w:rsid w:val="003D267E"/>
    <w:rsid w:val="003D7EBA"/>
    <w:rsid w:val="003F2A64"/>
    <w:rsid w:val="003F461B"/>
    <w:rsid w:val="003F6E72"/>
    <w:rsid w:val="003F7A6C"/>
    <w:rsid w:val="00400FA9"/>
    <w:rsid w:val="004014FA"/>
    <w:rsid w:val="00402A31"/>
    <w:rsid w:val="00410DC5"/>
    <w:rsid w:val="00415389"/>
    <w:rsid w:val="00415FDC"/>
    <w:rsid w:val="004166CE"/>
    <w:rsid w:val="00421BAA"/>
    <w:rsid w:val="00431000"/>
    <w:rsid w:val="004311E4"/>
    <w:rsid w:val="0043281C"/>
    <w:rsid w:val="004333DB"/>
    <w:rsid w:val="00436C39"/>
    <w:rsid w:val="0044145C"/>
    <w:rsid w:val="0044549E"/>
    <w:rsid w:val="00446213"/>
    <w:rsid w:val="00446A12"/>
    <w:rsid w:val="00450C35"/>
    <w:rsid w:val="00452065"/>
    <w:rsid w:val="00454C67"/>
    <w:rsid w:val="00461F3E"/>
    <w:rsid w:val="00482F39"/>
    <w:rsid w:val="0049115F"/>
    <w:rsid w:val="00491545"/>
    <w:rsid w:val="004923BE"/>
    <w:rsid w:val="004926D2"/>
    <w:rsid w:val="00492E64"/>
    <w:rsid w:val="00496984"/>
    <w:rsid w:val="004A5E33"/>
    <w:rsid w:val="004A64E4"/>
    <w:rsid w:val="004C24C0"/>
    <w:rsid w:val="004C6B06"/>
    <w:rsid w:val="004C74E4"/>
    <w:rsid w:val="004D0D8B"/>
    <w:rsid w:val="004D41C1"/>
    <w:rsid w:val="004D449E"/>
    <w:rsid w:val="004E1FD8"/>
    <w:rsid w:val="004E23A4"/>
    <w:rsid w:val="004E4210"/>
    <w:rsid w:val="004E4C14"/>
    <w:rsid w:val="004F75F9"/>
    <w:rsid w:val="00502C65"/>
    <w:rsid w:val="0051232C"/>
    <w:rsid w:val="0051387B"/>
    <w:rsid w:val="00514F2B"/>
    <w:rsid w:val="00520C5B"/>
    <w:rsid w:val="00520F70"/>
    <w:rsid w:val="00521A96"/>
    <w:rsid w:val="00522C74"/>
    <w:rsid w:val="00562243"/>
    <w:rsid w:val="00564B84"/>
    <w:rsid w:val="00571079"/>
    <w:rsid w:val="00581DA1"/>
    <w:rsid w:val="005A1663"/>
    <w:rsid w:val="005A7E24"/>
    <w:rsid w:val="005B6A9F"/>
    <w:rsid w:val="005C55EF"/>
    <w:rsid w:val="005D49BA"/>
    <w:rsid w:val="005E3245"/>
    <w:rsid w:val="005E38FB"/>
    <w:rsid w:val="005E5513"/>
    <w:rsid w:val="005F55FE"/>
    <w:rsid w:val="006029F3"/>
    <w:rsid w:val="00612251"/>
    <w:rsid w:val="00615810"/>
    <w:rsid w:val="00630F2B"/>
    <w:rsid w:val="00637B16"/>
    <w:rsid w:val="006466FE"/>
    <w:rsid w:val="00646D17"/>
    <w:rsid w:val="00652983"/>
    <w:rsid w:val="00664B78"/>
    <w:rsid w:val="00666AE3"/>
    <w:rsid w:val="006833FB"/>
    <w:rsid w:val="006915E9"/>
    <w:rsid w:val="006A6578"/>
    <w:rsid w:val="006B0C98"/>
    <w:rsid w:val="006B21A6"/>
    <w:rsid w:val="006B380B"/>
    <w:rsid w:val="006B5341"/>
    <w:rsid w:val="006B6E0F"/>
    <w:rsid w:val="006C4239"/>
    <w:rsid w:val="006D21D2"/>
    <w:rsid w:val="006D4F32"/>
    <w:rsid w:val="006D61DA"/>
    <w:rsid w:val="006F2011"/>
    <w:rsid w:val="006F2E3B"/>
    <w:rsid w:val="006F4BF8"/>
    <w:rsid w:val="00701A20"/>
    <w:rsid w:val="0071178B"/>
    <w:rsid w:val="0071289C"/>
    <w:rsid w:val="007130E0"/>
    <w:rsid w:val="007250F3"/>
    <w:rsid w:val="00731065"/>
    <w:rsid w:val="00735D4C"/>
    <w:rsid w:val="00765464"/>
    <w:rsid w:val="0077016F"/>
    <w:rsid w:val="00771318"/>
    <w:rsid w:val="007723DD"/>
    <w:rsid w:val="00781517"/>
    <w:rsid w:val="00792C4B"/>
    <w:rsid w:val="00794BA7"/>
    <w:rsid w:val="007A162A"/>
    <w:rsid w:val="007B32BD"/>
    <w:rsid w:val="007B4C06"/>
    <w:rsid w:val="007B5458"/>
    <w:rsid w:val="007C013B"/>
    <w:rsid w:val="007C7686"/>
    <w:rsid w:val="007D3BF2"/>
    <w:rsid w:val="007D5216"/>
    <w:rsid w:val="007E3B08"/>
    <w:rsid w:val="007E4029"/>
    <w:rsid w:val="007F2959"/>
    <w:rsid w:val="00804444"/>
    <w:rsid w:val="00810E5A"/>
    <w:rsid w:val="00811D34"/>
    <w:rsid w:val="00816CCE"/>
    <w:rsid w:val="00827937"/>
    <w:rsid w:val="00831562"/>
    <w:rsid w:val="00833586"/>
    <w:rsid w:val="00835BE1"/>
    <w:rsid w:val="00835F3B"/>
    <w:rsid w:val="00837744"/>
    <w:rsid w:val="00843EBD"/>
    <w:rsid w:val="00847713"/>
    <w:rsid w:val="00847E8A"/>
    <w:rsid w:val="00866C37"/>
    <w:rsid w:val="00866D98"/>
    <w:rsid w:val="00867D96"/>
    <w:rsid w:val="00873431"/>
    <w:rsid w:val="00883234"/>
    <w:rsid w:val="0088794F"/>
    <w:rsid w:val="0089072A"/>
    <w:rsid w:val="0089229D"/>
    <w:rsid w:val="008A4F4D"/>
    <w:rsid w:val="008B5666"/>
    <w:rsid w:val="008C2824"/>
    <w:rsid w:val="008C505E"/>
    <w:rsid w:val="008D4F81"/>
    <w:rsid w:val="00904F04"/>
    <w:rsid w:val="009144E3"/>
    <w:rsid w:val="009246CC"/>
    <w:rsid w:val="0092661B"/>
    <w:rsid w:val="009351F4"/>
    <w:rsid w:val="00937640"/>
    <w:rsid w:val="00946428"/>
    <w:rsid w:val="00947B74"/>
    <w:rsid w:val="00954A18"/>
    <w:rsid w:val="0096281E"/>
    <w:rsid w:val="009704AD"/>
    <w:rsid w:val="00980397"/>
    <w:rsid w:val="009836CC"/>
    <w:rsid w:val="0098380B"/>
    <w:rsid w:val="00984C95"/>
    <w:rsid w:val="00984FCD"/>
    <w:rsid w:val="00986BE2"/>
    <w:rsid w:val="00987E75"/>
    <w:rsid w:val="009A053E"/>
    <w:rsid w:val="009A0B13"/>
    <w:rsid w:val="009A1CED"/>
    <w:rsid w:val="009B3C0D"/>
    <w:rsid w:val="009B471F"/>
    <w:rsid w:val="009B4D67"/>
    <w:rsid w:val="009B6222"/>
    <w:rsid w:val="009B7769"/>
    <w:rsid w:val="009C32EA"/>
    <w:rsid w:val="009C6A8C"/>
    <w:rsid w:val="009D0BB0"/>
    <w:rsid w:val="009D7BA9"/>
    <w:rsid w:val="009F64D7"/>
    <w:rsid w:val="00A05D63"/>
    <w:rsid w:val="00A10FB9"/>
    <w:rsid w:val="00A114F8"/>
    <w:rsid w:val="00A37F4E"/>
    <w:rsid w:val="00A47230"/>
    <w:rsid w:val="00A47B38"/>
    <w:rsid w:val="00A5480B"/>
    <w:rsid w:val="00A55D52"/>
    <w:rsid w:val="00A7312F"/>
    <w:rsid w:val="00A74437"/>
    <w:rsid w:val="00A77385"/>
    <w:rsid w:val="00A80236"/>
    <w:rsid w:val="00A96554"/>
    <w:rsid w:val="00AB0365"/>
    <w:rsid w:val="00AB6D06"/>
    <w:rsid w:val="00AD0EF7"/>
    <w:rsid w:val="00AD3116"/>
    <w:rsid w:val="00AD31E5"/>
    <w:rsid w:val="00AD613F"/>
    <w:rsid w:val="00AE426D"/>
    <w:rsid w:val="00AE64FD"/>
    <w:rsid w:val="00AF2616"/>
    <w:rsid w:val="00B10E0D"/>
    <w:rsid w:val="00B44811"/>
    <w:rsid w:val="00B46444"/>
    <w:rsid w:val="00B50665"/>
    <w:rsid w:val="00B50E3C"/>
    <w:rsid w:val="00B519C7"/>
    <w:rsid w:val="00B51E57"/>
    <w:rsid w:val="00B570B3"/>
    <w:rsid w:val="00B6273B"/>
    <w:rsid w:val="00B675E6"/>
    <w:rsid w:val="00B7231E"/>
    <w:rsid w:val="00B731B3"/>
    <w:rsid w:val="00B74661"/>
    <w:rsid w:val="00B77BFA"/>
    <w:rsid w:val="00B82770"/>
    <w:rsid w:val="00B90079"/>
    <w:rsid w:val="00BA162E"/>
    <w:rsid w:val="00BA2DB2"/>
    <w:rsid w:val="00BB048F"/>
    <w:rsid w:val="00BC4C98"/>
    <w:rsid w:val="00BC7A14"/>
    <w:rsid w:val="00BD5003"/>
    <w:rsid w:val="00BD79BA"/>
    <w:rsid w:val="00BE0275"/>
    <w:rsid w:val="00BE4227"/>
    <w:rsid w:val="00C05DE3"/>
    <w:rsid w:val="00C0789D"/>
    <w:rsid w:val="00C32A4A"/>
    <w:rsid w:val="00C33B66"/>
    <w:rsid w:val="00C377AF"/>
    <w:rsid w:val="00C46080"/>
    <w:rsid w:val="00C5278B"/>
    <w:rsid w:val="00C637A7"/>
    <w:rsid w:val="00C75272"/>
    <w:rsid w:val="00C81906"/>
    <w:rsid w:val="00C8349F"/>
    <w:rsid w:val="00C876B4"/>
    <w:rsid w:val="00C91EC7"/>
    <w:rsid w:val="00CA05CE"/>
    <w:rsid w:val="00CD08C4"/>
    <w:rsid w:val="00CD3851"/>
    <w:rsid w:val="00CD4CDC"/>
    <w:rsid w:val="00CE254B"/>
    <w:rsid w:val="00CE61A1"/>
    <w:rsid w:val="00CF160A"/>
    <w:rsid w:val="00CF2BBB"/>
    <w:rsid w:val="00D16F12"/>
    <w:rsid w:val="00D20318"/>
    <w:rsid w:val="00D25AF6"/>
    <w:rsid w:val="00D323A9"/>
    <w:rsid w:val="00D37659"/>
    <w:rsid w:val="00D41A38"/>
    <w:rsid w:val="00D452A5"/>
    <w:rsid w:val="00D46F0F"/>
    <w:rsid w:val="00D47F51"/>
    <w:rsid w:val="00D5484A"/>
    <w:rsid w:val="00D60E2F"/>
    <w:rsid w:val="00D61BCC"/>
    <w:rsid w:val="00D64E0A"/>
    <w:rsid w:val="00D73E3F"/>
    <w:rsid w:val="00D767FA"/>
    <w:rsid w:val="00D77FC7"/>
    <w:rsid w:val="00D8484C"/>
    <w:rsid w:val="00D94487"/>
    <w:rsid w:val="00D96402"/>
    <w:rsid w:val="00DA0ECE"/>
    <w:rsid w:val="00DA1778"/>
    <w:rsid w:val="00DA5E6E"/>
    <w:rsid w:val="00DA67E7"/>
    <w:rsid w:val="00DC31D9"/>
    <w:rsid w:val="00DC6F89"/>
    <w:rsid w:val="00DD6F72"/>
    <w:rsid w:val="00DE3991"/>
    <w:rsid w:val="00DF2E34"/>
    <w:rsid w:val="00DF5724"/>
    <w:rsid w:val="00DF7E65"/>
    <w:rsid w:val="00E053D0"/>
    <w:rsid w:val="00E07491"/>
    <w:rsid w:val="00E101EE"/>
    <w:rsid w:val="00E137FB"/>
    <w:rsid w:val="00E227A7"/>
    <w:rsid w:val="00E24B26"/>
    <w:rsid w:val="00E2666C"/>
    <w:rsid w:val="00E279AD"/>
    <w:rsid w:val="00E34E95"/>
    <w:rsid w:val="00E40D26"/>
    <w:rsid w:val="00E60E53"/>
    <w:rsid w:val="00E614A7"/>
    <w:rsid w:val="00E629DB"/>
    <w:rsid w:val="00E64002"/>
    <w:rsid w:val="00E64711"/>
    <w:rsid w:val="00E64A16"/>
    <w:rsid w:val="00E70E0F"/>
    <w:rsid w:val="00E717D9"/>
    <w:rsid w:val="00E749EF"/>
    <w:rsid w:val="00E87F34"/>
    <w:rsid w:val="00E908D3"/>
    <w:rsid w:val="00E90A1E"/>
    <w:rsid w:val="00E96AD4"/>
    <w:rsid w:val="00EA7C67"/>
    <w:rsid w:val="00EB0AEA"/>
    <w:rsid w:val="00EB1527"/>
    <w:rsid w:val="00EB2B20"/>
    <w:rsid w:val="00EB418D"/>
    <w:rsid w:val="00EC0CFA"/>
    <w:rsid w:val="00EC6998"/>
    <w:rsid w:val="00ED2527"/>
    <w:rsid w:val="00ED5C80"/>
    <w:rsid w:val="00F019CC"/>
    <w:rsid w:val="00F043F2"/>
    <w:rsid w:val="00F06126"/>
    <w:rsid w:val="00F162D8"/>
    <w:rsid w:val="00F177AC"/>
    <w:rsid w:val="00F24769"/>
    <w:rsid w:val="00F31C80"/>
    <w:rsid w:val="00F33A70"/>
    <w:rsid w:val="00F43402"/>
    <w:rsid w:val="00F4356D"/>
    <w:rsid w:val="00F51295"/>
    <w:rsid w:val="00F51E77"/>
    <w:rsid w:val="00F56A0F"/>
    <w:rsid w:val="00F662BB"/>
    <w:rsid w:val="00F67FD6"/>
    <w:rsid w:val="00F76371"/>
    <w:rsid w:val="00F86E57"/>
    <w:rsid w:val="00F92F05"/>
    <w:rsid w:val="00F93B26"/>
    <w:rsid w:val="00F97657"/>
    <w:rsid w:val="00F97E5C"/>
    <w:rsid w:val="00FA13E1"/>
    <w:rsid w:val="00FA408C"/>
    <w:rsid w:val="00FA5F2C"/>
    <w:rsid w:val="00FB0863"/>
    <w:rsid w:val="00FB194A"/>
    <w:rsid w:val="00FC0017"/>
    <w:rsid w:val="00FC400F"/>
    <w:rsid w:val="00FC5751"/>
    <w:rsid w:val="00FC59B0"/>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5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10975</Words>
  <Characters>59265</Characters>
  <Application>Microsoft Office Word</Application>
  <DocSecurity>0</DocSecurity>
  <Lines>493</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2021-12-08T12:45:00Z</cp:lastPrinted>
  <dcterms:created xsi:type="dcterms:W3CDTF">2021-12-15T16:35:00Z</dcterms:created>
  <dcterms:modified xsi:type="dcterms:W3CDTF">2021-12-15T16:38:00Z</dcterms:modified>
</cp:coreProperties>
</file>