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AF1C88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941F49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3412813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941F49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58DB45" w14:textId="698DF758" w:rsidR="001B4806" w:rsidRDefault="001B480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D71E908" w14:textId="77777777" w:rsidR="00941F49" w:rsidRPr="00941F49" w:rsidRDefault="00941F49" w:rsidP="00941F49">
      <w:pPr>
        <w:spacing w:line="276" w:lineRule="auto"/>
        <w:ind w:left="2977" w:right="-2"/>
        <w:jc w:val="both"/>
        <w:rPr>
          <w:rFonts w:ascii="Arial" w:hAnsi="Arial" w:cs="Arial"/>
          <w:i/>
          <w:sz w:val="22"/>
          <w:szCs w:val="22"/>
        </w:rPr>
      </w:pPr>
      <w:r w:rsidRPr="00941F49">
        <w:rPr>
          <w:rFonts w:ascii="Arial" w:hAnsi="Arial" w:cs="Arial"/>
          <w:i/>
          <w:sz w:val="22"/>
          <w:szCs w:val="22"/>
        </w:rPr>
        <w:t>“Estima a Receita e fixa a Despesa do Município de Bom Retiro do Sul para o Exercício Financeiro de 2022.”</w:t>
      </w:r>
    </w:p>
    <w:p w14:paraId="7605C79F" w14:textId="77777777" w:rsidR="00941F49" w:rsidRPr="00941F49" w:rsidRDefault="00941F49" w:rsidP="00941F49">
      <w:pPr>
        <w:ind w:left="3402"/>
        <w:jc w:val="both"/>
        <w:rPr>
          <w:rFonts w:ascii="Arial" w:hAnsi="Arial" w:cs="Arial"/>
          <w:i/>
          <w:sz w:val="20"/>
        </w:rPr>
      </w:pPr>
    </w:p>
    <w:p w14:paraId="56C8184B" w14:textId="77777777" w:rsidR="00941F49" w:rsidRPr="00941F49" w:rsidRDefault="00941F49" w:rsidP="00941F49">
      <w:pPr>
        <w:ind w:left="3402"/>
        <w:jc w:val="both"/>
        <w:rPr>
          <w:rFonts w:ascii="Arial" w:hAnsi="Arial" w:cs="Arial"/>
          <w:i/>
          <w:sz w:val="20"/>
        </w:rPr>
      </w:pPr>
    </w:p>
    <w:p w14:paraId="5558E710" w14:textId="77777777" w:rsidR="00941F49" w:rsidRPr="00941F49" w:rsidRDefault="00941F49" w:rsidP="00941F4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i/>
          <w:sz w:val="24"/>
          <w:szCs w:val="24"/>
        </w:rPr>
        <w:tab/>
      </w:r>
      <w:r w:rsidRPr="00941F49">
        <w:rPr>
          <w:rFonts w:ascii="Arial" w:hAnsi="Arial" w:cs="Arial"/>
          <w:b/>
          <w:i/>
          <w:sz w:val="24"/>
          <w:szCs w:val="24"/>
        </w:rPr>
        <w:t xml:space="preserve">EDER EDUARDO MÜLLER CICERI, </w:t>
      </w:r>
      <w:r w:rsidRPr="00941F49">
        <w:rPr>
          <w:rFonts w:ascii="Arial" w:hAnsi="Arial" w:cs="Arial"/>
          <w:bCs/>
          <w:iCs/>
          <w:sz w:val="24"/>
          <w:szCs w:val="24"/>
        </w:rPr>
        <w:t>Vice – Prefeito em Exercício de</w:t>
      </w:r>
      <w:r w:rsidRPr="00941F49">
        <w:rPr>
          <w:rFonts w:ascii="Arial" w:hAnsi="Arial" w:cs="Arial"/>
          <w:b/>
          <w:sz w:val="24"/>
          <w:szCs w:val="24"/>
        </w:rPr>
        <w:t xml:space="preserve"> </w:t>
      </w:r>
      <w:r w:rsidRPr="00941F49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EA52747" w14:textId="77777777" w:rsidR="00941F49" w:rsidRPr="00941F49" w:rsidRDefault="00941F49" w:rsidP="00941F49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941F49">
        <w:rPr>
          <w:rFonts w:ascii="Arial" w:hAnsi="Arial" w:cs="Arial"/>
          <w:b/>
          <w:i/>
          <w:sz w:val="24"/>
          <w:szCs w:val="24"/>
        </w:rPr>
        <w:tab/>
      </w:r>
      <w:r w:rsidRPr="00941F49">
        <w:rPr>
          <w:rFonts w:ascii="Arial" w:hAnsi="Arial" w:cs="Arial"/>
          <w:b/>
          <w:i/>
          <w:sz w:val="24"/>
        </w:rPr>
        <w:t xml:space="preserve">FAÇO SABER </w:t>
      </w:r>
      <w:r w:rsidRPr="00941F49">
        <w:rPr>
          <w:rFonts w:ascii="Arial" w:hAnsi="Arial" w:cs="Arial"/>
          <w:sz w:val="24"/>
        </w:rPr>
        <w:t>que o Poder Legislativo aprovou e eu sanciono e promulgo a seguinte Lei:</w:t>
      </w:r>
    </w:p>
    <w:p w14:paraId="30E0C029" w14:textId="77777777" w:rsidR="00941F49" w:rsidRPr="00941F49" w:rsidRDefault="00941F49" w:rsidP="00941F49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i/>
          <w:snapToGrid w:val="0"/>
          <w:sz w:val="24"/>
        </w:rPr>
      </w:pPr>
      <w:r w:rsidRPr="00941F49">
        <w:rPr>
          <w:rFonts w:ascii="Arial" w:hAnsi="Arial" w:cs="Arial"/>
          <w:sz w:val="24"/>
          <w:szCs w:val="24"/>
        </w:rPr>
        <w:tab/>
      </w:r>
    </w:p>
    <w:p w14:paraId="3938B7EA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120" w:line="276" w:lineRule="auto"/>
        <w:jc w:val="center"/>
        <w:outlineLvl w:val="6"/>
        <w:rPr>
          <w:rFonts w:ascii="Arial" w:hAnsi="Arial" w:cs="Arial"/>
          <w:b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kern w:val="1"/>
          <w:sz w:val="24"/>
          <w:szCs w:val="24"/>
          <w:lang w:eastAsia="hi-IN" w:bidi="hi-IN"/>
        </w:rPr>
        <w:t>CAPÍTULO I</w:t>
      </w:r>
    </w:p>
    <w:p w14:paraId="4FF46FBD" w14:textId="77777777" w:rsidR="00941F49" w:rsidRPr="00941F49" w:rsidRDefault="00941F49" w:rsidP="00941F49">
      <w:pPr>
        <w:keepNext/>
        <w:numPr>
          <w:ilvl w:val="0"/>
          <w:numId w:val="16"/>
        </w:numPr>
        <w:tabs>
          <w:tab w:val="left" w:pos="2268"/>
        </w:tabs>
        <w:suppressAutoHyphens/>
        <w:spacing w:after="200" w:line="276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941F49">
        <w:rPr>
          <w:rFonts w:ascii="Arial" w:hAnsi="Arial" w:cs="Arial"/>
          <w:b/>
          <w:sz w:val="24"/>
          <w:szCs w:val="24"/>
          <w:lang w:eastAsia="ar-SA"/>
        </w:rPr>
        <w:t>DISPOSIÇÕES PRELIMINARES</w:t>
      </w:r>
    </w:p>
    <w:p w14:paraId="6F6F766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1º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Esta Lei estima a Receita e fixa a Despesa do Município para o exercício financeiro de 2022, compreendendo:</w:t>
      </w:r>
    </w:p>
    <w:p w14:paraId="221F52D3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 xml:space="preserve"> I – O Orçamento Fiscal, referente aos Poderes do Município, seus fundos, órgãos e entidades da Administração Pública Municipal Direta e Indireta, inclusive Fundações instituídas e mantidas pelo Poder Público.</w:t>
      </w:r>
    </w:p>
    <w:p w14:paraId="26B91BAE" w14:textId="77777777" w:rsidR="00941F49" w:rsidRPr="00941F49" w:rsidRDefault="00941F49" w:rsidP="00941F49">
      <w:pPr>
        <w:tabs>
          <w:tab w:val="left" w:pos="2268"/>
        </w:tabs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ab/>
      </w:r>
    </w:p>
    <w:p w14:paraId="2667B070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120" w:line="276" w:lineRule="auto"/>
        <w:jc w:val="center"/>
        <w:outlineLvl w:val="6"/>
        <w:rPr>
          <w:rFonts w:ascii="Arial" w:hAnsi="Arial" w:cs="Arial"/>
          <w:b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kern w:val="1"/>
          <w:sz w:val="24"/>
          <w:szCs w:val="24"/>
          <w:lang w:eastAsia="hi-IN" w:bidi="hi-IN"/>
        </w:rPr>
        <w:t>CAPÍTULO II</w:t>
      </w:r>
    </w:p>
    <w:p w14:paraId="72E88470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120" w:line="276" w:lineRule="auto"/>
        <w:jc w:val="center"/>
        <w:outlineLvl w:val="6"/>
        <w:rPr>
          <w:rFonts w:ascii="Arial" w:hAnsi="Arial" w:cs="Arial"/>
          <w:b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kern w:val="1"/>
          <w:sz w:val="24"/>
          <w:szCs w:val="24"/>
          <w:lang w:eastAsia="hi-IN" w:bidi="hi-IN"/>
        </w:rPr>
        <w:t>DO ORÇAMENTO FISCAL</w:t>
      </w:r>
    </w:p>
    <w:p w14:paraId="5D2DAF07" w14:textId="77777777" w:rsidR="00941F49" w:rsidRPr="00941F49" w:rsidRDefault="00941F49" w:rsidP="00941F49">
      <w:pPr>
        <w:keepNext/>
        <w:numPr>
          <w:ilvl w:val="0"/>
          <w:numId w:val="16"/>
        </w:numPr>
        <w:tabs>
          <w:tab w:val="left" w:pos="2268"/>
        </w:tabs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941F49">
        <w:rPr>
          <w:rFonts w:ascii="Arial" w:hAnsi="Arial" w:cs="Arial"/>
          <w:b/>
          <w:sz w:val="24"/>
          <w:szCs w:val="24"/>
          <w:lang w:eastAsia="ar-SA"/>
        </w:rPr>
        <w:t>Seção I</w:t>
      </w:r>
    </w:p>
    <w:p w14:paraId="3CA08093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Da Estimativa da Receita</w:t>
      </w:r>
    </w:p>
    <w:p w14:paraId="747169DB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Art. 2º A Receita Orçamentária é estimada, no mesmo valor da Despesa, em R$ 45.220.000,00 (quarenta e cinco milhões e duzentos e vinte mil reais), a ser arrecadada de acordo com a Legislação vigente, obedecendo à seguinte classificação:</w:t>
      </w:r>
    </w:p>
    <w:p w14:paraId="3DF6EA53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RECEITAS CORRENTES</w:t>
      </w:r>
    </w:p>
    <w:p w14:paraId="44883E0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Impostos Taxas e Contribuições...........................................R$      4.871.539,00</w:t>
      </w:r>
    </w:p>
    <w:p w14:paraId="39C17900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Contribuições ........................................................................R$        105.000,00</w:t>
      </w:r>
    </w:p>
    <w:p w14:paraId="4E4BCDA4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Receita Patrimonial ..............................................................R$        123.740,00</w:t>
      </w:r>
    </w:p>
    <w:p w14:paraId="4D1CE1D9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Receita de Serviços ...............................................................R$         78.150,00</w:t>
      </w:r>
    </w:p>
    <w:p w14:paraId="6811106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lastRenderedPageBreak/>
        <w:t>Transferências Correntes ......................................................R$ 41.713.971,00</w:t>
      </w:r>
    </w:p>
    <w:p w14:paraId="71B03A8D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Outras Receitas Correntes ....................................................R$        52.200,00</w:t>
      </w:r>
    </w:p>
    <w:p w14:paraId="10C33753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(-) Reduções...........................................................................R$   5.024.600,00</w:t>
      </w:r>
    </w:p>
    <w:p w14:paraId="2C2E279F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TOTAL RECEITAS CORRENTES: .......................................R$ 41.920.000,00</w:t>
      </w:r>
    </w:p>
    <w:p w14:paraId="01B2C8A5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2C8192A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RECEITAS DE CAPITAL</w:t>
      </w:r>
    </w:p>
    <w:p w14:paraId="117A3515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Operações de Crédito.........................................................R$          1.800.000,00</w:t>
      </w:r>
    </w:p>
    <w:p w14:paraId="1853226D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Transferências de Capital...................................................R$        1.500.000,00</w:t>
      </w:r>
    </w:p>
    <w:p w14:paraId="485C6120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TOTAL RECEITAS DE CAPITAL:......................................R$       3.300.000,00</w:t>
      </w:r>
    </w:p>
    <w:p w14:paraId="1B06E4F0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899CA2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TOTAL GERAL DA RECEITA ................................................R$ 45.220.000,00</w:t>
      </w:r>
    </w:p>
    <w:p w14:paraId="244ADDB4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200" w:line="276" w:lineRule="auto"/>
        <w:jc w:val="both"/>
        <w:outlineLvl w:val="4"/>
        <w:rPr>
          <w:rFonts w:ascii="Arial" w:hAnsi="Arial" w:cs="Arial"/>
          <w:bCs/>
          <w:iCs/>
          <w:snapToGrid w:val="0"/>
          <w:kern w:val="1"/>
          <w:sz w:val="24"/>
          <w:szCs w:val="24"/>
          <w:lang w:eastAsia="hi-IN" w:bidi="hi-IN"/>
        </w:rPr>
      </w:pPr>
    </w:p>
    <w:p w14:paraId="6727F6C3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120" w:line="276" w:lineRule="auto"/>
        <w:jc w:val="center"/>
        <w:outlineLvl w:val="4"/>
        <w:rPr>
          <w:rFonts w:ascii="Arial" w:hAnsi="Arial" w:cs="Arial"/>
          <w:b/>
          <w:bCs/>
          <w:iCs/>
          <w:snapToGrid w:val="0"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snapToGrid w:val="0"/>
          <w:kern w:val="1"/>
          <w:sz w:val="24"/>
          <w:szCs w:val="24"/>
          <w:lang w:eastAsia="hi-IN" w:bidi="hi-IN"/>
        </w:rPr>
        <w:t>Seção II</w:t>
      </w:r>
    </w:p>
    <w:p w14:paraId="033295C6" w14:textId="77777777" w:rsidR="00941F49" w:rsidRPr="00941F49" w:rsidRDefault="00941F49" w:rsidP="00941F49">
      <w:pPr>
        <w:keepNext/>
        <w:widowControl w:val="0"/>
        <w:tabs>
          <w:tab w:val="left" w:pos="2268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  <w:t>Da Fixação da Despesa</w:t>
      </w:r>
    </w:p>
    <w:p w14:paraId="46A874D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Art. 3º</w:t>
      </w:r>
      <w:r w:rsidRPr="00941F49">
        <w:rPr>
          <w:rFonts w:ascii="Arial" w:hAnsi="Arial" w:cs="Arial"/>
          <w:sz w:val="24"/>
          <w:szCs w:val="24"/>
        </w:rPr>
        <w:t xml:space="preserve"> A Despesa Orçamentária, no mesmo valor da Receita Orçamentária, é fixada em R$ 45.220.000,00 (quarenta e cinco milhões e duzentos e vinte mil reais), e será realizada de acordo com a Lei de Diretrizes Orçamentárias e com as especificações constantes das tabelas e quadros anexos, que fazem parte desta Lei.</w:t>
      </w:r>
    </w:p>
    <w:p w14:paraId="47983B5F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Art. 4º</w:t>
      </w:r>
      <w:r w:rsidRPr="00941F49">
        <w:rPr>
          <w:rFonts w:ascii="Arial" w:hAnsi="Arial" w:cs="Arial"/>
          <w:sz w:val="24"/>
          <w:szCs w:val="24"/>
        </w:rPr>
        <w:t xml:space="preserve"> A despesa fixada no orçamento fiscal será distribuída nas categorias econômicas e respectivos grupos de natureza das despesas constantes no anexo. Fica autorizado, o contador legalmente habilitado, a realizar os desdobramentos dos elementos da despesa nas respectivas rubricas, até o limite do valor fixado em cada elemento.</w:t>
      </w:r>
    </w:p>
    <w:p w14:paraId="362A8A5F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DESPESAS CORRENTES</w:t>
      </w:r>
    </w:p>
    <w:p w14:paraId="190B36B4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Pessoal e Encargos Socais....................................................R$ 22.408.870,00</w:t>
      </w:r>
    </w:p>
    <w:p w14:paraId="5E3E6936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Juros e Encargos da Dívida....................................................R$      860.504,00</w:t>
      </w:r>
    </w:p>
    <w:p w14:paraId="1B5723F2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Outras Despesas Correntes...................................................R$ 16.010.636,00</w:t>
      </w:r>
    </w:p>
    <w:p w14:paraId="790AC0E5" w14:textId="7FA22AC1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941F49">
        <w:rPr>
          <w:rFonts w:ascii="Arial" w:hAnsi="Arial" w:cs="Arial"/>
          <w:b/>
          <w:sz w:val="24"/>
          <w:szCs w:val="24"/>
        </w:rPr>
        <w:t>OTAL: .................................................................................R</w:t>
      </w:r>
      <w:bookmarkStart w:id="0" w:name="_Hlk91577636"/>
      <w:r w:rsidRPr="00941F49">
        <w:rPr>
          <w:rFonts w:ascii="Arial" w:hAnsi="Arial" w:cs="Arial"/>
          <w:b/>
          <w:sz w:val="24"/>
          <w:szCs w:val="24"/>
        </w:rPr>
        <w:t>$ 39.280.010,00</w:t>
      </w:r>
    </w:p>
    <w:bookmarkEnd w:id="0"/>
    <w:p w14:paraId="2C97040F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14:paraId="38837875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14:paraId="26B10582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lastRenderedPageBreak/>
        <w:t>DESPESAS DE CAPITAL</w:t>
      </w:r>
    </w:p>
    <w:p w14:paraId="702D205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Investimentos........................................................................R$   4.979.990,00</w:t>
      </w:r>
    </w:p>
    <w:p w14:paraId="0E3FB5A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Amortização da Dívida..........................................................R$       560.000,00</w:t>
      </w:r>
    </w:p>
    <w:p w14:paraId="3D298DA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 xml:space="preserve">TOTAL: ................................................................................R$   </w:t>
      </w:r>
      <w:bookmarkStart w:id="1" w:name="_Hlk91574934"/>
      <w:r w:rsidRPr="00941F49">
        <w:rPr>
          <w:rFonts w:ascii="Arial" w:hAnsi="Arial" w:cs="Arial"/>
          <w:b/>
          <w:sz w:val="24"/>
          <w:szCs w:val="24"/>
        </w:rPr>
        <w:t>5.539.990,00</w:t>
      </w:r>
      <w:bookmarkEnd w:id="1"/>
    </w:p>
    <w:p w14:paraId="7E2D3243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EE1D51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sz w:val="24"/>
          <w:szCs w:val="24"/>
        </w:rPr>
        <w:t>Reserva de Contingência......................................................R$</w:t>
      </w:r>
      <w:r w:rsidRPr="00941F49">
        <w:rPr>
          <w:rFonts w:ascii="Arial" w:hAnsi="Arial" w:cs="Arial"/>
          <w:sz w:val="24"/>
          <w:szCs w:val="24"/>
        </w:rPr>
        <w:tab/>
        <w:t>400.000,00</w:t>
      </w:r>
    </w:p>
    <w:p w14:paraId="17E77256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51A12C7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TOTAL GERAL DA DESPESA.............................................R$ 45.220.000,00</w:t>
      </w:r>
    </w:p>
    <w:p w14:paraId="744F2558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1B58A4FF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Art. 5º</w:t>
      </w:r>
      <w:r w:rsidRPr="00941F49">
        <w:rPr>
          <w:rFonts w:ascii="Arial" w:hAnsi="Arial" w:cs="Arial"/>
          <w:sz w:val="24"/>
          <w:szCs w:val="24"/>
        </w:rPr>
        <w:t xml:space="preserve"> Integram esta Lei, nos termos do art.8º da Lei Municipal nº 4.990/2021, que dispõe sobre as Diretrizes Orçamentárias para o Exercício Financeiro de 2022, os anexos contendo os quadros orçamentários e demonstrativos das Receitas e Despesas, a programação de trabalho das unidades orçamentárias e o detalhamento dos créditos orçamentários.</w:t>
      </w:r>
    </w:p>
    <w:p w14:paraId="32BE8036" w14:textId="77777777" w:rsidR="00941F49" w:rsidRPr="00941F49" w:rsidRDefault="00941F49" w:rsidP="00941F49">
      <w:pPr>
        <w:keepNext/>
        <w:widowControl w:val="0"/>
        <w:tabs>
          <w:tab w:val="left" w:pos="2268"/>
        </w:tabs>
        <w:suppressAutoHyphens/>
        <w:spacing w:after="200" w:line="276" w:lineRule="auto"/>
        <w:jc w:val="both"/>
        <w:outlineLvl w:val="1"/>
        <w:rPr>
          <w:rFonts w:ascii="Arial" w:hAnsi="Arial" w:cs="Arial"/>
          <w:bCs/>
          <w:iCs/>
          <w:kern w:val="1"/>
          <w:sz w:val="24"/>
          <w:szCs w:val="24"/>
          <w:lang w:eastAsia="hi-IN" w:bidi="hi-IN"/>
        </w:rPr>
      </w:pPr>
    </w:p>
    <w:p w14:paraId="51496C96" w14:textId="77777777" w:rsidR="00941F49" w:rsidRPr="00941F49" w:rsidRDefault="00941F49" w:rsidP="00941F49">
      <w:pPr>
        <w:keepNext/>
        <w:widowControl w:val="0"/>
        <w:tabs>
          <w:tab w:val="left" w:pos="2268"/>
        </w:tabs>
        <w:suppressAutoHyphens/>
        <w:spacing w:after="120" w:line="276" w:lineRule="auto"/>
        <w:jc w:val="center"/>
        <w:outlineLvl w:val="1"/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  <w:t>Seção III</w:t>
      </w:r>
    </w:p>
    <w:p w14:paraId="08D78F96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200" w:line="276" w:lineRule="auto"/>
        <w:jc w:val="center"/>
        <w:outlineLvl w:val="4"/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  <w:t>Da Autorização para Abertura de Créditos Suplementares</w:t>
      </w:r>
    </w:p>
    <w:p w14:paraId="50AC1FD8" w14:textId="0B4F3C68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6º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941F49">
        <w:rPr>
          <w:rFonts w:ascii="Arial" w:hAnsi="Arial" w:cs="Arial"/>
          <w:snapToGrid w:val="0"/>
          <w:sz w:val="24"/>
          <w:szCs w:val="24"/>
        </w:rPr>
        <w:t>Fica o Poder Executivo autorizado, mediante Decreto, de acordo com os dispostos nos artigos 7º, 42 e 43 da Lei nº 4.320/64 e no artigo 165, §8º da Constituição Federal, a:</w:t>
      </w:r>
    </w:p>
    <w:p w14:paraId="764E7DB4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I – Abrir Crédito Suplementar para atender despesas relativas à aplicação ou transferência de Receitas Vinculadas que excedam a previsão Orçamentária correspondente, até o limite recebido;</w:t>
      </w:r>
    </w:p>
    <w:p w14:paraId="3C39533C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II – Abrir Crédito Suplementar com Saldo de Recursos não utilizados no exercício anterior, até o limite do Saldo Bancário Livre;</w:t>
      </w:r>
    </w:p>
    <w:p w14:paraId="7E3AED8C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III – Abrir Crédito Suplementar para atender insuficiência de dotações do Grupo de Natureza de Despesa 1 – Pessoal e Encargos, e dotações da natureza 3.3.90.46 – Auxílio Alimentação, mediante a utilização de recursos oriundos da anulação de despesas;</w:t>
      </w:r>
    </w:p>
    <w:p w14:paraId="35B82260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IV – Abrir Crédito Suplementar para atender insuficiência de dotações do Grupo de Natureza de Despesa 2 – Juros e Encargos da Dívida, mediante a utilização de recursos oriundos da anulação de despesas;</w:t>
      </w:r>
    </w:p>
    <w:p w14:paraId="740B82E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</w:p>
    <w:p w14:paraId="78AADE4B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  <w:highlight w:val="cyan"/>
        </w:rPr>
      </w:pPr>
    </w:p>
    <w:p w14:paraId="4E1ECA92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V – Abrir Crédito Suplementar para atender insuficiência de dotações entre o mesmo órgão, mediante a utilização de recursos oriundos da anulação de despesas;</w:t>
      </w:r>
    </w:p>
    <w:p w14:paraId="0E4E2F77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snapToGrid w:val="0"/>
          <w:sz w:val="24"/>
          <w:szCs w:val="24"/>
        </w:rPr>
        <w:t>VI – Abrir durante o exercício, Créditos Suplementares até o limite de 20% (vinte por cento) da Despesa Total Autorizada.</w:t>
      </w:r>
    </w:p>
    <w:p w14:paraId="687F9556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 xml:space="preserve">Art. 7º </w:t>
      </w:r>
      <w:r w:rsidRPr="00941F49">
        <w:rPr>
          <w:rFonts w:ascii="Arial" w:hAnsi="Arial" w:cs="Arial"/>
          <w:snapToGrid w:val="0"/>
          <w:sz w:val="24"/>
          <w:szCs w:val="24"/>
        </w:rPr>
        <w:t>A Administração, para efeitos gerenciais, em caso de necessidade e conveniência, poderá transferir recursos entre elementos de despesas da mesma origem, visando adequá-los às reais demandas verificadas no exercício. As transferências de recursos feitas na forma deste artigo, não somam para os efeitos do limite estabelecido nos incisos I, II e III do art. 6º.</w:t>
      </w:r>
    </w:p>
    <w:p w14:paraId="0190EB6C" w14:textId="761C0CBF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8º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Fica o Poder Executivo autorizado a reabrir, por Decreto, os Saldos de Créditos Especiais, abertos nos últimos quatro meses do exercício de 202</w:t>
      </w:r>
      <w:r w:rsidR="001E185C">
        <w:rPr>
          <w:rFonts w:ascii="Arial" w:hAnsi="Arial" w:cs="Arial"/>
          <w:snapToGrid w:val="0"/>
          <w:sz w:val="24"/>
          <w:szCs w:val="24"/>
        </w:rPr>
        <w:t>1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e não integralmente utilizados, para os quais haja suficiente disponibilidade financeira ou que tenha assegurado a entrada de Receita Vinculada, não prevista no Orçamento.</w:t>
      </w:r>
    </w:p>
    <w:p w14:paraId="2FA44648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after="200" w:line="276" w:lineRule="auto"/>
        <w:ind w:firstLine="851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41F49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Art. 9º </w:t>
      </w:r>
      <w:r w:rsidRPr="00941F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Ao Poder Legislativo, mediante Resolução da Mesa Diretora da Câmara, a abertura de Créditos Suplementares até o limite de 20% (vinte por cento) de sua despesa total fixada, com a finalidade de suprir insuficiências de suas dotações orçamentárias, mediante a utilização de recursos provenientes de anulação parcial ou total de suas dotações.</w:t>
      </w:r>
    </w:p>
    <w:p w14:paraId="4C290CE7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overflowPunct w:val="0"/>
        <w:autoSpaceDE w:val="0"/>
        <w:spacing w:after="200" w:line="276" w:lineRule="auto"/>
        <w:ind w:firstLine="2835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14:paraId="5DE0C99A" w14:textId="77777777" w:rsidR="00941F49" w:rsidRPr="00941F49" w:rsidRDefault="00941F49" w:rsidP="00941F49">
      <w:pPr>
        <w:keepNext/>
        <w:widowControl w:val="0"/>
        <w:tabs>
          <w:tab w:val="left" w:pos="2268"/>
        </w:tabs>
        <w:suppressAutoHyphens/>
        <w:spacing w:after="120" w:line="276" w:lineRule="auto"/>
        <w:jc w:val="center"/>
        <w:outlineLvl w:val="1"/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  <w:t>CAPÍTULO III</w:t>
      </w:r>
    </w:p>
    <w:p w14:paraId="13A30CA3" w14:textId="77777777" w:rsidR="00941F49" w:rsidRPr="00941F49" w:rsidRDefault="00941F49" w:rsidP="00941F49">
      <w:pPr>
        <w:keepNext/>
        <w:widowControl w:val="0"/>
        <w:tabs>
          <w:tab w:val="left" w:pos="2268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</w:pPr>
      <w:r w:rsidRPr="00941F49">
        <w:rPr>
          <w:rFonts w:ascii="Arial" w:hAnsi="Arial" w:cs="Arial"/>
          <w:b/>
          <w:bCs/>
          <w:iCs/>
          <w:kern w:val="1"/>
          <w:sz w:val="24"/>
          <w:szCs w:val="24"/>
          <w:lang w:eastAsia="hi-IN" w:bidi="hi-IN"/>
        </w:rPr>
        <w:t>DISPOSIÇÕES GERAIS E FINAIS</w:t>
      </w:r>
    </w:p>
    <w:p w14:paraId="71288E12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10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A utilização das dotações com origem de recursos provenientes de transferências voluntárias, operações de crédito e alienação de bens fica limitada aos efetivos recursos assegurados.</w:t>
      </w:r>
    </w:p>
    <w:p w14:paraId="3BDF45F8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11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à matéria.</w:t>
      </w:r>
    </w:p>
    <w:p w14:paraId="7F8C17A0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napToGrid w:val="0"/>
          <w:sz w:val="24"/>
          <w:szCs w:val="24"/>
        </w:rPr>
      </w:pPr>
      <w:r w:rsidRPr="00941F49">
        <w:rPr>
          <w:rFonts w:ascii="Arial" w:hAnsi="Arial" w:cs="Arial"/>
          <w:b/>
          <w:snapToGrid w:val="0"/>
          <w:sz w:val="24"/>
          <w:szCs w:val="24"/>
        </w:rPr>
        <w:t>Art. 12</w:t>
      </w:r>
      <w:r w:rsidRPr="00941F49">
        <w:rPr>
          <w:rFonts w:ascii="Arial" w:hAnsi="Arial" w:cs="Arial"/>
          <w:snapToGrid w:val="0"/>
          <w:sz w:val="24"/>
          <w:szCs w:val="24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3C7361D7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Art. 11</w:t>
      </w:r>
      <w:r w:rsidRPr="00941F49">
        <w:rPr>
          <w:rFonts w:ascii="Arial" w:hAnsi="Arial" w:cs="Arial"/>
          <w:sz w:val="24"/>
          <w:szCs w:val="24"/>
        </w:rPr>
        <w:t xml:space="preserve"> O Prefeito Municipal, no âmbito do Poder Executivo, e nos termos do que dispuser a Lei de Diretrizes Orçamentárias, poderá adotar </w:t>
      </w:r>
      <w:r w:rsidRPr="00941F49">
        <w:rPr>
          <w:rFonts w:ascii="Arial" w:hAnsi="Arial" w:cs="Arial"/>
          <w:sz w:val="24"/>
          <w:szCs w:val="24"/>
        </w:rPr>
        <w:lastRenderedPageBreak/>
        <w:t>mecanismos para utilização das dotações, de forma a compatibilizar as despesas à efetiva realização das receitas.</w:t>
      </w:r>
    </w:p>
    <w:p w14:paraId="317D53BE" w14:textId="77777777" w:rsidR="00941F49" w:rsidRPr="00941F49" w:rsidRDefault="00941F49" w:rsidP="00941F49">
      <w:pPr>
        <w:tabs>
          <w:tab w:val="left" w:pos="2268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1F49">
        <w:rPr>
          <w:rFonts w:ascii="Arial" w:hAnsi="Arial" w:cs="Arial"/>
          <w:b/>
          <w:sz w:val="24"/>
          <w:szCs w:val="24"/>
        </w:rPr>
        <w:t>Art. 13</w:t>
      </w:r>
      <w:r w:rsidRPr="00941F49">
        <w:rPr>
          <w:rFonts w:ascii="Arial" w:hAnsi="Arial" w:cs="Arial"/>
          <w:sz w:val="24"/>
          <w:szCs w:val="24"/>
        </w:rPr>
        <w:t xml:space="preserve"> Ficam automaticamente atualizados, com base nos valores desta Lei, o montante previsto para as receitas, despesas, resultado primário e resultado nominal previstos nos demonstrativos referidos nos incisos I e III do art. 2º da Lei Municipal Nº 4.990/2021, que dispõe sobre as Diretrizes Orçamentárias para o exercício financeiro de 2022 em conformidade com o disposto no § 2º do mesmo artigo.</w:t>
      </w:r>
    </w:p>
    <w:p w14:paraId="3002634F" w14:textId="77777777" w:rsidR="00941F49" w:rsidRPr="00941F49" w:rsidRDefault="00941F49" w:rsidP="00941F49">
      <w:pPr>
        <w:widowControl w:val="0"/>
        <w:tabs>
          <w:tab w:val="left" w:pos="2268"/>
        </w:tabs>
        <w:suppressAutoHyphens/>
        <w:spacing w:line="276" w:lineRule="auto"/>
        <w:ind w:firstLine="851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41F49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14</w:t>
      </w:r>
      <w:r w:rsidRPr="00941F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Esta Lei entra em vigor na data de sua publicação.</w:t>
      </w:r>
    </w:p>
    <w:p w14:paraId="0656DEE3" w14:textId="4DB15DDD" w:rsidR="00941F49" w:rsidRDefault="00941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86AD85B" w14:textId="77777777" w:rsidR="00941F49" w:rsidRDefault="00941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28AEC7" w14:textId="77777777" w:rsidR="002C4BBC" w:rsidRDefault="002C4BB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p w14:paraId="5CCDA813" w14:textId="7D43A639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p w14:paraId="274CE127" w14:textId="536C9D01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p w14:paraId="08D01F4F" w14:textId="77777777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p w14:paraId="4F6DB553" w14:textId="3ED205D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p w14:paraId="1A362CDF" w14:textId="4CE73072" w:rsidR="001E185C" w:rsidRPr="001E185C" w:rsidRDefault="001E185C" w:rsidP="001E185C">
      <w:pPr>
        <w:ind w:left="-709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E185C">
        <w:rPr>
          <w:rFonts w:ascii="Arial" w:hAnsi="Arial" w:cs="Arial"/>
          <w:b/>
          <w:bCs/>
          <w:noProof/>
          <w:sz w:val="24"/>
          <w:szCs w:val="24"/>
        </w:rPr>
        <w:t xml:space="preserve">OBS: Fazem parte </w:t>
      </w:r>
      <w:r>
        <w:rPr>
          <w:rFonts w:ascii="Arial" w:hAnsi="Arial" w:cs="Arial"/>
          <w:b/>
          <w:bCs/>
          <w:noProof/>
          <w:sz w:val="24"/>
          <w:szCs w:val="24"/>
        </w:rPr>
        <w:t>d</w:t>
      </w:r>
      <w:r w:rsidRPr="001E185C">
        <w:rPr>
          <w:rFonts w:ascii="Arial" w:hAnsi="Arial" w:cs="Arial"/>
          <w:b/>
          <w:bCs/>
          <w:noProof/>
          <w:sz w:val="24"/>
          <w:szCs w:val="24"/>
        </w:rPr>
        <w:t xml:space="preserve">este Autógrafo, os anexos referente as </w:t>
      </w:r>
      <w:r>
        <w:rPr>
          <w:rFonts w:ascii="Arial" w:hAnsi="Arial" w:cs="Arial"/>
          <w:b/>
          <w:bCs/>
          <w:noProof/>
          <w:sz w:val="24"/>
          <w:szCs w:val="24"/>
        </w:rPr>
        <w:t>E</w:t>
      </w:r>
      <w:r w:rsidRPr="001E185C">
        <w:rPr>
          <w:rFonts w:ascii="Arial" w:hAnsi="Arial" w:cs="Arial"/>
          <w:b/>
          <w:bCs/>
          <w:noProof/>
          <w:sz w:val="24"/>
          <w:szCs w:val="24"/>
        </w:rPr>
        <w:t>mendas Impositivas de numero 01, 02, 03, 04, 05, 06, 07, 08 e 09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/2021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noProof/>
          <w:sz w:val="24"/>
          <w:szCs w:val="24"/>
        </w:rPr>
        <w:t>O</w:t>
      </w:r>
      <w:r>
        <w:rPr>
          <w:rFonts w:ascii="Arial" w:hAnsi="Arial" w:cs="Arial"/>
          <w:b/>
          <w:bCs/>
          <w:noProof/>
          <w:sz w:val="24"/>
          <w:szCs w:val="24"/>
        </w:rPr>
        <w:t>rçamento de Anual de 20</w:t>
      </w:r>
      <w:r>
        <w:rPr>
          <w:rFonts w:ascii="Arial" w:hAnsi="Arial" w:cs="Arial"/>
          <w:b/>
          <w:bCs/>
          <w:noProof/>
          <w:sz w:val="24"/>
          <w:szCs w:val="24"/>
        </w:rPr>
        <w:t>22</w:t>
      </w:r>
    </w:p>
    <w:sectPr w:rsidR="001E185C" w:rsidRP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F950" w14:textId="77777777" w:rsidR="00E712C5" w:rsidRDefault="00E712C5" w:rsidP="008C505E">
      <w:r>
        <w:separator/>
      </w:r>
    </w:p>
  </w:endnote>
  <w:endnote w:type="continuationSeparator" w:id="0">
    <w:p w14:paraId="000AEAC5" w14:textId="77777777" w:rsidR="00E712C5" w:rsidRDefault="00E712C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5350" w14:textId="77777777" w:rsidR="00E712C5" w:rsidRDefault="00E712C5" w:rsidP="008C505E">
      <w:r>
        <w:separator/>
      </w:r>
    </w:p>
  </w:footnote>
  <w:footnote w:type="continuationSeparator" w:id="0">
    <w:p w14:paraId="57223876" w14:textId="77777777" w:rsidR="00E712C5" w:rsidRDefault="00E712C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712C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712C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2C5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1352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2022-01-03T13:20:00Z</cp:lastPrinted>
  <dcterms:created xsi:type="dcterms:W3CDTF">2022-01-03T13:29:00Z</dcterms:created>
  <dcterms:modified xsi:type="dcterms:W3CDTF">2022-01-03T13:29:00Z</dcterms:modified>
</cp:coreProperties>
</file>