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3A1401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2E25C4">
        <w:rPr>
          <w:rFonts w:ascii="Arial" w:hAnsi="Arial" w:cs="Arial"/>
          <w:sz w:val="24"/>
          <w:szCs w:val="24"/>
          <w:u w:val="single"/>
        </w:rPr>
        <w:t>3</w:t>
      </w:r>
      <w:r w:rsidR="00E6344B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1EBEBA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E844A1">
        <w:rPr>
          <w:rFonts w:ascii="Arial" w:hAnsi="Arial" w:cs="Arial"/>
          <w:sz w:val="24"/>
          <w:szCs w:val="24"/>
        </w:rPr>
        <w:t>3</w:t>
      </w:r>
      <w:r w:rsidR="00E6344B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14C4F956" w14:textId="639E1528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FB2DF15" w14:textId="77777777" w:rsidR="00E6344B" w:rsidRDefault="00E6344B" w:rsidP="00E6344B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  <w:bookmarkStart w:id="0" w:name="_Hlk93061701"/>
    </w:p>
    <w:p w14:paraId="65341D87" w14:textId="41803D0C" w:rsidR="00E6344B" w:rsidRDefault="00E6344B" w:rsidP="00E6344B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  <w:r w:rsidRPr="00E6344B">
        <w:rPr>
          <w:rFonts w:ascii="Arial" w:hAnsi="Arial" w:cs="Arial"/>
          <w:iCs/>
          <w:sz w:val="24"/>
          <w:szCs w:val="24"/>
        </w:rPr>
        <w:t>Autoriza o Poder Executivo Municipal a abrir Crédito Suplementar no Orçamento Municipal e aponta recursos e da outras providências</w:t>
      </w:r>
      <w:bookmarkEnd w:id="0"/>
      <w:r w:rsidRPr="00E6344B">
        <w:rPr>
          <w:rFonts w:ascii="Arial" w:hAnsi="Arial" w:cs="Arial"/>
          <w:iCs/>
          <w:sz w:val="24"/>
          <w:szCs w:val="24"/>
        </w:rPr>
        <w:t>.</w:t>
      </w:r>
    </w:p>
    <w:p w14:paraId="211F67E1" w14:textId="77777777" w:rsidR="00E6344B" w:rsidRPr="00E6344B" w:rsidRDefault="00E6344B" w:rsidP="00E6344B">
      <w:pPr>
        <w:spacing w:after="200" w:line="276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</w:p>
    <w:p w14:paraId="1B5DAD3F" w14:textId="77777777" w:rsidR="00E6344B" w:rsidRPr="00E6344B" w:rsidRDefault="00E6344B" w:rsidP="00E6344B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6344B">
        <w:rPr>
          <w:rFonts w:ascii="Arial" w:hAnsi="Arial" w:cs="Arial"/>
          <w:i/>
          <w:sz w:val="24"/>
          <w:szCs w:val="24"/>
        </w:rPr>
        <w:tab/>
      </w:r>
      <w:r w:rsidRPr="00E6344B">
        <w:rPr>
          <w:rFonts w:ascii="Arial" w:hAnsi="Arial" w:cs="Arial"/>
          <w:i/>
          <w:sz w:val="24"/>
          <w:szCs w:val="24"/>
        </w:rPr>
        <w:tab/>
      </w:r>
      <w:r w:rsidRPr="00E6344B">
        <w:rPr>
          <w:rFonts w:ascii="Arial" w:hAnsi="Arial" w:cs="Arial"/>
          <w:b/>
          <w:i/>
          <w:sz w:val="24"/>
          <w:szCs w:val="24"/>
        </w:rPr>
        <w:t>EDMILSON BUSATTO</w:t>
      </w:r>
      <w:r w:rsidRPr="00E6344B">
        <w:rPr>
          <w:rFonts w:ascii="Arial" w:hAnsi="Arial" w:cs="Arial"/>
          <w:b/>
          <w:sz w:val="24"/>
          <w:szCs w:val="24"/>
        </w:rPr>
        <w:t xml:space="preserve">, </w:t>
      </w:r>
      <w:r w:rsidRPr="00E6344B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3CBFE42" w14:textId="77777777" w:rsidR="00E6344B" w:rsidRPr="00E6344B" w:rsidRDefault="00E6344B" w:rsidP="00E634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6344B">
        <w:rPr>
          <w:rFonts w:ascii="Arial" w:hAnsi="Arial" w:cs="Arial"/>
          <w:b/>
          <w:i/>
          <w:sz w:val="24"/>
          <w:szCs w:val="24"/>
        </w:rPr>
        <w:tab/>
      </w:r>
      <w:r w:rsidRPr="00E6344B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E6344B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3E628E7" w14:textId="77777777" w:rsidR="00E6344B" w:rsidRPr="00E6344B" w:rsidRDefault="00E6344B" w:rsidP="00E6344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E6344B">
        <w:rPr>
          <w:rFonts w:ascii="Arial" w:hAnsi="Arial" w:cs="Arial"/>
          <w:b/>
          <w:i/>
          <w:sz w:val="24"/>
          <w:szCs w:val="24"/>
        </w:rPr>
        <w:tab/>
      </w:r>
      <w:r w:rsidRPr="00E6344B">
        <w:rPr>
          <w:rFonts w:ascii="Arial" w:hAnsi="Arial" w:cs="Arial"/>
          <w:b/>
          <w:i/>
          <w:sz w:val="24"/>
          <w:szCs w:val="24"/>
        </w:rPr>
        <w:tab/>
      </w:r>
      <w:r w:rsidRPr="00E6344B">
        <w:rPr>
          <w:rFonts w:ascii="Arial" w:hAnsi="Arial" w:cs="Arial"/>
          <w:b/>
          <w:bCs/>
          <w:sz w:val="24"/>
        </w:rPr>
        <w:t xml:space="preserve">Art. 1º </w:t>
      </w:r>
      <w:r w:rsidRPr="00E6344B">
        <w:rPr>
          <w:rFonts w:ascii="Arial" w:hAnsi="Arial" w:cs="Arial"/>
          <w:sz w:val="24"/>
        </w:rPr>
        <w:t>Fica o Poder Executivo Municipal autorizado abrir Crédito Suplementar no valor de R$ 100.000,00 (cem mil reais), no Orçamento Municipal, exercício de 2022, classificado sob as seguintes dotações orçamentárias:</w:t>
      </w:r>
    </w:p>
    <w:p w14:paraId="5FBC1ABB" w14:textId="77777777" w:rsidR="00E6344B" w:rsidRPr="00E6344B" w:rsidRDefault="00E6344B" w:rsidP="00E6344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E6344B" w:rsidRPr="00E6344B" w14:paraId="0696D800" w14:textId="77777777" w:rsidTr="001A0515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58AA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bookmarkStart w:id="1" w:name="_Hlk77345088"/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5EB3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FD48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5732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0129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8699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4312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D8D0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8425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5E73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47E8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D58DC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E6344B" w:rsidRPr="00E6344B" w14:paraId="49704409" w14:textId="77777777" w:rsidTr="001A0515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936F0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D8536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0AF0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C5401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9AC2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0C9A2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43ECB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9BDA7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3.3.3.60.45.00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6337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433FB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SUBVENÇÕES ECONOMICAS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B1FE4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R$ 100.000,00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3437A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bookmarkEnd w:id="1"/>
    </w:tbl>
    <w:p w14:paraId="72EEE742" w14:textId="77777777" w:rsidR="00E6344B" w:rsidRPr="00E6344B" w:rsidRDefault="00E6344B" w:rsidP="00E6344B">
      <w:pPr>
        <w:spacing w:line="276" w:lineRule="auto"/>
        <w:ind w:firstLine="708"/>
        <w:jc w:val="both"/>
        <w:rPr>
          <w:rFonts w:ascii="Calibri" w:hAnsi="Calibri" w:cs="Calibri"/>
          <w:color w:val="000000"/>
          <w:sz w:val="16"/>
          <w:szCs w:val="16"/>
          <w:lang w:eastAsia="en-US"/>
        </w:rPr>
      </w:pPr>
    </w:p>
    <w:p w14:paraId="522AC596" w14:textId="77777777" w:rsidR="00E6344B" w:rsidRPr="00E6344B" w:rsidRDefault="00E6344B" w:rsidP="00E6344B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E6344B">
        <w:rPr>
          <w:rFonts w:ascii="Arial" w:hAnsi="Arial" w:cs="Arial"/>
          <w:b/>
          <w:sz w:val="22"/>
          <w:szCs w:val="22"/>
        </w:rPr>
        <w:tab/>
      </w:r>
      <w:r w:rsidRPr="00E6344B">
        <w:rPr>
          <w:rFonts w:ascii="Arial" w:hAnsi="Arial" w:cs="Arial"/>
          <w:b/>
          <w:sz w:val="24"/>
        </w:rPr>
        <w:t>Art. 2º</w:t>
      </w:r>
      <w:r w:rsidRPr="00E6344B">
        <w:rPr>
          <w:rFonts w:ascii="Arial" w:hAnsi="Arial" w:cs="Arial"/>
          <w:sz w:val="24"/>
        </w:rPr>
        <w:t xml:space="preserve"> Para cobertura do Crédito Suplementar autorizado no artigo 1º desta Lei será utilizada a redução das seguintes dotações orçamentárias:</w:t>
      </w:r>
    </w:p>
    <w:tbl>
      <w:tblPr>
        <w:tblW w:w="9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04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E6344B" w:rsidRPr="00E6344B" w14:paraId="67B896BA" w14:textId="77777777" w:rsidTr="001A0515">
        <w:trPr>
          <w:trHeight w:val="2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FA03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1BDB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8770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9639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EDF0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D2F4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880C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110C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DE49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8A0F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3EE4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75158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6344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E6344B" w:rsidRPr="00E6344B" w14:paraId="5992F90A" w14:textId="77777777" w:rsidTr="001A0515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B493E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1106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AA0A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9054A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E8E9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00465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550AF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3A0B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08433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3.3.3.90.93.00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67F3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CC3CC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INDENIZAÇÃO E RESTITUIÇÃO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03FF4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23B20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E6344B" w:rsidRPr="00E6344B" w14:paraId="255A4A51" w14:textId="77777777" w:rsidTr="001A0515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DA3C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1107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91553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3EFCA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2DBAB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0D4E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691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54F89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931AF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3C43D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44CF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87B37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A16F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CD87F" w14:textId="77777777" w:rsidR="00E6344B" w:rsidRPr="00E6344B" w:rsidRDefault="00E6344B" w:rsidP="00E634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E6344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13E1D886" w14:textId="77777777" w:rsidR="00E6344B" w:rsidRPr="00E6344B" w:rsidRDefault="00E6344B" w:rsidP="00E6344B">
      <w:pPr>
        <w:rPr>
          <w:rFonts w:ascii="Arial" w:hAnsi="Arial" w:cs="Arial"/>
          <w:b/>
          <w:i/>
          <w:sz w:val="24"/>
        </w:rPr>
      </w:pPr>
    </w:p>
    <w:p w14:paraId="5A3C5103" w14:textId="77777777" w:rsidR="00E6344B" w:rsidRPr="00E6344B" w:rsidRDefault="00E6344B" w:rsidP="00E6344B">
      <w:pPr>
        <w:rPr>
          <w:rFonts w:ascii="Arial" w:hAnsi="Arial" w:cs="Arial"/>
          <w:b/>
          <w:i/>
          <w:sz w:val="24"/>
        </w:rPr>
      </w:pPr>
    </w:p>
    <w:p w14:paraId="56FCD31B" w14:textId="77777777" w:rsidR="00E6344B" w:rsidRPr="00E6344B" w:rsidRDefault="00E6344B" w:rsidP="00E6344B">
      <w:pPr>
        <w:ind w:left="708" w:firstLine="708"/>
        <w:rPr>
          <w:rFonts w:ascii="Arial" w:hAnsi="Arial" w:cs="Arial"/>
          <w:b/>
          <w:bCs/>
          <w:sz w:val="24"/>
        </w:rPr>
      </w:pPr>
      <w:r w:rsidRPr="00E6344B">
        <w:rPr>
          <w:rFonts w:ascii="Arial" w:hAnsi="Arial" w:cs="Arial"/>
          <w:b/>
          <w:bCs/>
          <w:sz w:val="24"/>
        </w:rPr>
        <w:t xml:space="preserve">Art. 3º </w:t>
      </w:r>
      <w:r w:rsidRPr="00E6344B">
        <w:rPr>
          <w:rFonts w:ascii="Arial" w:hAnsi="Arial" w:cs="Arial"/>
          <w:sz w:val="24"/>
        </w:rPr>
        <w:t>Esta Lei entra em vigor na data de sua publicação.</w:t>
      </w:r>
    </w:p>
    <w:p w14:paraId="39B9F4B4" w14:textId="36A9C6B1" w:rsidR="00E844A1" w:rsidRDefault="00E844A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91FA3F1" w14:textId="77777777" w:rsidR="00E6344B" w:rsidRDefault="00E6344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8997075" w14:textId="77777777" w:rsidR="00E6344B" w:rsidRDefault="00E6344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8010C2E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E844A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BE5D67">
        <w:rPr>
          <w:rFonts w:ascii="Arial" w:hAnsi="Arial" w:cs="Arial"/>
          <w:sz w:val="24"/>
          <w:szCs w:val="24"/>
        </w:rPr>
        <w:t>abril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4612" w14:textId="77777777" w:rsidR="00473995" w:rsidRDefault="00473995" w:rsidP="008C505E">
      <w:r>
        <w:separator/>
      </w:r>
    </w:p>
  </w:endnote>
  <w:endnote w:type="continuationSeparator" w:id="0">
    <w:p w14:paraId="47AE1F84" w14:textId="77777777" w:rsidR="00473995" w:rsidRDefault="0047399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636B" w14:textId="77777777" w:rsidR="00473995" w:rsidRDefault="00473995" w:rsidP="008C505E">
      <w:r>
        <w:separator/>
      </w:r>
    </w:p>
  </w:footnote>
  <w:footnote w:type="continuationSeparator" w:id="0">
    <w:p w14:paraId="00DDB0AC" w14:textId="77777777" w:rsidR="00473995" w:rsidRDefault="0047399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473995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47399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73995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2022-04-13T12:23:00Z</cp:lastPrinted>
  <dcterms:created xsi:type="dcterms:W3CDTF">2022-04-13T12:24:00Z</dcterms:created>
  <dcterms:modified xsi:type="dcterms:W3CDTF">2022-04-13T12:24:00Z</dcterms:modified>
</cp:coreProperties>
</file>