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1B398410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8006DE">
        <w:rPr>
          <w:rFonts w:ascii="Arial" w:hAnsi="Arial" w:cs="Arial"/>
          <w:b w:val="0"/>
          <w:i w:val="0"/>
          <w:szCs w:val="24"/>
          <w:u w:val="single"/>
        </w:rPr>
        <w:t>3</w:t>
      </w:r>
      <w:r w:rsidR="003E76B0">
        <w:rPr>
          <w:rFonts w:ascii="Arial" w:hAnsi="Arial" w:cs="Arial"/>
          <w:b w:val="0"/>
          <w:i w:val="0"/>
          <w:szCs w:val="24"/>
          <w:u w:val="single"/>
        </w:rPr>
        <w:t>2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04A0CB1D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8D04DF">
        <w:rPr>
          <w:rFonts w:ascii="Arial" w:hAnsi="Arial" w:cs="Arial"/>
          <w:i w:val="0"/>
          <w:szCs w:val="24"/>
          <w:u w:val="single"/>
        </w:rPr>
        <w:t>02</w:t>
      </w:r>
      <w:r w:rsidR="003E76B0">
        <w:rPr>
          <w:rFonts w:ascii="Arial" w:hAnsi="Arial" w:cs="Arial"/>
          <w:i w:val="0"/>
          <w:szCs w:val="24"/>
          <w:u w:val="single"/>
        </w:rPr>
        <w:t>3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</w:t>
      </w:r>
      <w:r w:rsidR="008D04DF">
        <w:rPr>
          <w:rFonts w:ascii="Arial" w:hAnsi="Arial" w:cs="Arial"/>
          <w:i w:val="0"/>
          <w:szCs w:val="24"/>
          <w:u w:val="single"/>
        </w:rPr>
        <w:t xml:space="preserve"> LEGISLATIVO</w:t>
      </w:r>
    </w:p>
    <w:p w14:paraId="15708BAE" w14:textId="77777777" w:rsidR="008006DE" w:rsidRPr="008006DE" w:rsidRDefault="008006DE" w:rsidP="008006DE">
      <w:pPr>
        <w:spacing w:after="62"/>
        <w:ind w:left="3969"/>
        <w:jc w:val="center"/>
        <w:rPr>
          <w:rFonts w:ascii="Arial" w:hAnsi="Arial" w:cs="Arial"/>
          <w:b w:val="0"/>
          <w:i w:val="0"/>
          <w:szCs w:val="24"/>
        </w:rPr>
      </w:pPr>
      <w:bookmarkStart w:id="1" w:name="_Hlk187925085"/>
      <w:bookmarkStart w:id="2" w:name="_Hlk206571360"/>
      <w:bookmarkEnd w:id="0"/>
    </w:p>
    <w:p w14:paraId="19BCDDA1" w14:textId="60162676" w:rsidR="003E76B0" w:rsidRPr="003E76B0" w:rsidRDefault="003E76B0" w:rsidP="003E76B0">
      <w:pPr>
        <w:spacing w:before="120" w:after="120" w:line="276" w:lineRule="auto"/>
        <w:ind w:left="3828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E76B0">
        <w:rPr>
          <w:rFonts w:ascii="Arial" w:hAnsi="Arial" w:cs="Arial"/>
          <w:b w:val="0"/>
          <w:i w:val="0"/>
          <w:sz w:val="22"/>
          <w:szCs w:val="22"/>
        </w:rPr>
        <w:t>Dispõe sobre a Política Municipal de Transparência dos Convênios, Contratos de Repasse, Instrumentos Congêneres e Emendas Parlamentares destinadas ao Município de Bom Retiro do Sul e dá outras providências.</w:t>
      </w:r>
    </w:p>
    <w:p w14:paraId="7D8F3B75" w14:textId="77777777" w:rsidR="003E76B0" w:rsidRPr="003E76B0" w:rsidRDefault="003E76B0" w:rsidP="003E76B0">
      <w:pPr>
        <w:spacing w:before="120" w:after="120" w:line="276" w:lineRule="auto"/>
        <w:rPr>
          <w:rFonts w:ascii="Arial" w:hAnsi="Arial" w:cs="Arial"/>
          <w:b w:val="0"/>
          <w:i w:val="0"/>
          <w:szCs w:val="24"/>
        </w:rPr>
      </w:pPr>
    </w:p>
    <w:p w14:paraId="7AE8ECC3" w14:textId="77777777" w:rsidR="003E76B0" w:rsidRPr="003E76B0" w:rsidRDefault="003E76B0" w:rsidP="003E76B0">
      <w:pPr>
        <w:spacing w:before="120" w:after="120" w:line="276" w:lineRule="auto"/>
        <w:ind w:firstLine="709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Cs/>
          <w:i w:val="0"/>
          <w:szCs w:val="24"/>
        </w:rPr>
        <w:t>CELSO PAZUCH</w:t>
      </w:r>
      <w:r w:rsidRPr="003E76B0">
        <w:rPr>
          <w:rFonts w:ascii="Arial" w:hAnsi="Arial" w:cs="Arial"/>
          <w:b w:val="0"/>
          <w:i w:val="0"/>
          <w:szCs w:val="24"/>
        </w:rPr>
        <w:t xml:space="preserve">, Prefeito Municipal de Bom Retiro do Sul, Estado do Rio Grande do Sul, em cumprimento ao disposto </w:t>
      </w:r>
      <w:r w:rsidRPr="003E76B0">
        <w:rPr>
          <w:rFonts w:ascii="Arial" w:hAnsi="Arial" w:cs="Arial"/>
          <w:b w:val="0"/>
          <w:i w:val="0"/>
          <w:szCs w:val="24"/>
          <w:lang w:eastAsia="ar-SA"/>
        </w:rPr>
        <w:t xml:space="preserve">nos termos do art. 72, inciso IV </w:t>
      </w:r>
      <w:r w:rsidRPr="003E76B0">
        <w:rPr>
          <w:rFonts w:ascii="Arial" w:hAnsi="Arial" w:cs="Arial"/>
          <w:b w:val="0"/>
          <w:i w:val="0"/>
          <w:szCs w:val="24"/>
        </w:rPr>
        <w:t>da </w:t>
      </w:r>
      <w:hyperlink r:id="rId8" w:history="1">
        <w:r w:rsidRPr="003E76B0">
          <w:rPr>
            <w:rFonts w:ascii="Arial" w:hAnsi="Arial" w:cs="Arial"/>
            <w:b w:val="0"/>
            <w:i w:val="0"/>
            <w:szCs w:val="24"/>
          </w:rPr>
          <w:t>Lei Orgânica</w:t>
        </w:r>
      </w:hyperlink>
      <w:r w:rsidRPr="003E76B0">
        <w:rPr>
          <w:rFonts w:ascii="Arial" w:hAnsi="Arial" w:cs="Arial"/>
          <w:b w:val="0"/>
          <w:i w:val="0"/>
          <w:szCs w:val="24"/>
        </w:rPr>
        <w:t> do Município, FAÇO SABER que o Poder Legislativo aprovou e eu sanciono e promulgo a seguinte Lei:</w:t>
      </w:r>
    </w:p>
    <w:p w14:paraId="54CFFF62" w14:textId="77777777" w:rsidR="003E76B0" w:rsidRPr="003E76B0" w:rsidRDefault="003E76B0" w:rsidP="003E76B0">
      <w:pPr>
        <w:spacing w:before="120" w:after="120" w:line="276" w:lineRule="auto"/>
        <w:jc w:val="both"/>
        <w:rPr>
          <w:rFonts w:ascii="Arial" w:hAnsi="Arial" w:cs="Arial"/>
          <w:b w:val="0"/>
          <w:i w:val="0"/>
          <w:szCs w:val="24"/>
        </w:rPr>
      </w:pPr>
    </w:p>
    <w:p w14:paraId="4A8526E5" w14:textId="77777777" w:rsidR="003E76B0" w:rsidRPr="003E76B0" w:rsidRDefault="003E76B0" w:rsidP="003E76B0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Cs/>
          <w:i w:val="0"/>
          <w:szCs w:val="24"/>
        </w:rPr>
        <w:t>Art. 1º</w:t>
      </w:r>
      <w:r w:rsidRPr="003E76B0">
        <w:rPr>
          <w:rFonts w:ascii="Arial" w:hAnsi="Arial" w:cs="Arial"/>
          <w:b w:val="0"/>
          <w:i w:val="0"/>
          <w:szCs w:val="24"/>
        </w:rPr>
        <w:t>. Fica instituída a Política Municipal de Transparência dos Convênios, Contratos de Repasse, Instrumentos Congêneres e Emendas Parlamentares no âmbito do Município de Bom Retiro do Sul, com o objetivo de assegurar a publicidade, o acesso à informação e o controle social sobre os recursos públicos destinados ao Município.</w:t>
      </w:r>
    </w:p>
    <w:p w14:paraId="7132064A" w14:textId="77777777" w:rsidR="003E76B0" w:rsidRPr="003E76B0" w:rsidRDefault="003E76B0" w:rsidP="003E76B0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Cs/>
          <w:i w:val="0"/>
          <w:szCs w:val="24"/>
        </w:rPr>
        <w:t>Parágrafo Único</w:t>
      </w:r>
      <w:r w:rsidRPr="003E76B0">
        <w:rPr>
          <w:rFonts w:ascii="Arial" w:hAnsi="Arial" w:cs="Arial"/>
          <w:b w:val="0"/>
          <w:i w:val="0"/>
          <w:szCs w:val="24"/>
        </w:rPr>
        <w:t>. As Organizações da Sociedade Civil (</w:t>
      </w:r>
      <w:proofErr w:type="spellStart"/>
      <w:r w:rsidRPr="003E76B0">
        <w:rPr>
          <w:rFonts w:ascii="Arial" w:hAnsi="Arial" w:cs="Arial"/>
          <w:b w:val="0"/>
          <w:i w:val="0"/>
          <w:szCs w:val="24"/>
        </w:rPr>
        <w:t>OSCs</w:t>
      </w:r>
      <w:proofErr w:type="spellEnd"/>
      <w:r w:rsidRPr="003E76B0">
        <w:rPr>
          <w:rFonts w:ascii="Arial" w:hAnsi="Arial" w:cs="Arial"/>
          <w:b w:val="0"/>
          <w:i w:val="0"/>
          <w:szCs w:val="24"/>
        </w:rPr>
        <w:t>), entidades filantrópicas e demais instituições privadas sem fins lucrativos que forem beneficiadas com recursos oriundos de emendas parlamentares ficam sujeitas ao cumprimento das disposições estabelecidas nesta Lei, no que couber.</w:t>
      </w:r>
    </w:p>
    <w:p w14:paraId="272842B0" w14:textId="77777777" w:rsidR="003E76B0" w:rsidRPr="003E76B0" w:rsidRDefault="003E76B0" w:rsidP="003E76B0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Cs/>
          <w:i w:val="0"/>
          <w:szCs w:val="24"/>
        </w:rPr>
        <w:t>Art. 2º</w:t>
      </w:r>
      <w:r w:rsidRPr="003E76B0">
        <w:rPr>
          <w:rFonts w:ascii="Arial" w:hAnsi="Arial" w:cs="Arial"/>
          <w:b w:val="0"/>
          <w:i w:val="0"/>
          <w:szCs w:val="24"/>
        </w:rPr>
        <w:t>. O Poder Executivo Municipal deverá divulgar, no Portal da Transparência do Município por meio de link denominado “</w:t>
      </w:r>
      <w:r w:rsidRPr="003E76B0">
        <w:rPr>
          <w:rFonts w:ascii="Arial" w:hAnsi="Arial" w:cs="Arial"/>
          <w:b w:val="0"/>
          <w:iCs/>
          <w:szCs w:val="24"/>
        </w:rPr>
        <w:t>Recursos Extraorçamentários</w:t>
      </w:r>
      <w:r w:rsidRPr="003E76B0">
        <w:rPr>
          <w:rFonts w:ascii="Arial" w:hAnsi="Arial" w:cs="Arial"/>
          <w:b w:val="0"/>
          <w:i w:val="0"/>
          <w:szCs w:val="24"/>
        </w:rPr>
        <w:t>”, todas as informações referentes aos convênios, contratos de repasse e instrumentos congêneres firmados com o Estado ou com a União, bem como as emendas parlamentares recebidas pelo Município, com atualização semestral, nos meses de janeiro e julho, de forma clara, acessível e em linguagem cidadã.</w:t>
      </w:r>
    </w:p>
    <w:p w14:paraId="4E9332E0" w14:textId="77777777" w:rsidR="003E76B0" w:rsidRPr="003E76B0" w:rsidRDefault="003E76B0" w:rsidP="003E76B0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Cs/>
          <w:i w:val="0"/>
          <w:szCs w:val="24"/>
        </w:rPr>
        <w:t>Parágrafo Único</w:t>
      </w:r>
      <w:r w:rsidRPr="003E76B0">
        <w:rPr>
          <w:rFonts w:ascii="Arial" w:hAnsi="Arial" w:cs="Arial"/>
          <w:b w:val="0"/>
          <w:i w:val="0"/>
          <w:szCs w:val="24"/>
        </w:rPr>
        <w:t>. A Câmara Municipal de Vereadores disponibilizará em seu site oficial um ícone denominado “</w:t>
      </w:r>
      <w:r w:rsidRPr="003E76B0">
        <w:rPr>
          <w:rFonts w:ascii="Arial" w:hAnsi="Arial" w:cs="Arial"/>
          <w:b w:val="0"/>
          <w:iCs/>
          <w:szCs w:val="24"/>
        </w:rPr>
        <w:t>Emendas Parlamentares</w:t>
      </w:r>
      <w:r w:rsidRPr="003E76B0">
        <w:rPr>
          <w:rFonts w:ascii="Arial" w:hAnsi="Arial" w:cs="Arial"/>
          <w:b w:val="0"/>
          <w:i w:val="0"/>
          <w:szCs w:val="24"/>
        </w:rPr>
        <w:t>”, o qual redirecionará os usuários para o link da Prefeitura Municipal, onde estarão disponíveis as informações especificadas no caput.</w:t>
      </w:r>
    </w:p>
    <w:p w14:paraId="0013AC85" w14:textId="77777777" w:rsidR="003E76B0" w:rsidRPr="003E76B0" w:rsidRDefault="003E76B0" w:rsidP="003E76B0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Cs/>
          <w:i w:val="0"/>
          <w:szCs w:val="24"/>
        </w:rPr>
        <w:t>Art. 3º</w:t>
      </w:r>
      <w:r w:rsidRPr="003E76B0">
        <w:rPr>
          <w:rFonts w:ascii="Arial" w:hAnsi="Arial" w:cs="Arial"/>
          <w:b w:val="0"/>
          <w:i w:val="0"/>
          <w:szCs w:val="24"/>
        </w:rPr>
        <w:t>. A divulgação de que trata o artigo anterior em relação aos convênios, contratos de repasse e instrumentos congêneres firmados com o Estado ou com a União deverá conter, obrigatoriamente, as seguintes informações:</w:t>
      </w:r>
    </w:p>
    <w:p w14:paraId="0DCE286F" w14:textId="77777777" w:rsidR="003E76B0" w:rsidRPr="003E76B0" w:rsidRDefault="003E76B0" w:rsidP="003E76B0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 w:val="0"/>
          <w:i w:val="0"/>
          <w:szCs w:val="24"/>
        </w:rPr>
        <w:t>I – Valor total do convênio, contrato de repasse ou instrumento congênere;</w:t>
      </w:r>
    </w:p>
    <w:p w14:paraId="38F1F40E" w14:textId="77777777" w:rsidR="003E76B0" w:rsidRPr="003E76B0" w:rsidRDefault="003E76B0" w:rsidP="003E76B0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 w:val="0"/>
          <w:i w:val="0"/>
          <w:szCs w:val="24"/>
        </w:rPr>
        <w:t>II – Finalidade e objetivo;</w:t>
      </w:r>
    </w:p>
    <w:p w14:paraId="352C9A64" w14:textId="77777777" w:rsidR="003E76B0" w:rsidRPr="003E76B0" w:rsidRDefault="003E76B0" w:rsidP="003E76B0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 w:val="0"/>
          <w:i w:val="0"/>
          <w:szCs w:val="24"/>
        </w:rPr>
        <w:t>III – Projeto, programa ou ação municipal beneficiado;</w:t>
      </w:r>
    </w:p>
    <w:p w14:paraId="0B2BC5C6" w14:textId="77777777" w:rsidR="003E76B0" w:rsidRPr="003E76B0" w:rsidRDefault="003E76B0" w:rsidP="003E76B0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 w:val="0"/>
          <w:i w:val="0"/>
          <w:szCs w:val="24"/>
        </w:rPr>
        <w:t>IV – Data da celebração e projeção de finalização;</w:t>
      </w:r>
    </w:p>
    <w:p w14:paraId="294EEF6F" w14:textId="77777777" w:rsidR="003E76B0" w:rsidRPr="003E76B0" w:rsidRDefault="003E76B0" w:rsidP="003E76B0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 w:val="0"/>
          <w:i w:val="0"/>
          <w:szCs w:val="24"/>
        </w:rPr>
        <w:t>V – Órgão ou entidade municipal responsável pela execução.</w:t>
      </w:r>
    </w:p>
    <w:p w14:paraId="54443922" w14:textId="77777777" w:rsidR="003E76B0" w:rsidRPr="003E76B0" w:rsidRDefault="003E76B0" w:rsidP="003E76B0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 w:val="0"/>
          <w:i w:val="0"/>
          <w:szCs w:val="24"/>
        </w:rPr>
        <w:lastRenderedPageBreak/>
        <w:t xml:space="preserve">VI – A situação do andamento, juntamente com seu respectivo status, podendo ser: </w:t>
      </w:r>
    </w:p>
    <w:p w14:paraId="5850B5F3" w14:textId="77777777" w:rsidR="003E76B0" w:rsidRPr="003E76B0" w:rsidRDefault="003E76B0" w:rsidP="003E76B0">
      <w:pPr>
        <w:numPr>
          <w:ilvl w:val="0"/>
          <w:numId w:val="53"/>
        </w:numPr>
        <w:tabs>
          <w:tab w:val="left" w:pos="851"/>
          <w:tab w:val="left" w:pos="1134"/>
        </w:tabs>
        <w:spacing w:before="120" w:after="120" w:line="276" w:lineRule="auto"/>
        <w:ind w:left="851" w:firstLine="0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 w:val="0"/>
          <w:i w:val="0"/>
          <w:szCs w:val="24"/>
        </w:rPr>
        <w:t>fase de empenho orçamentário</w:t>
      </w:r>
    </w:p>
    <w:p w14:paraId="2B611AFF" w14:textId="77777777" w:rsidR="003E76B0" w:rsidRPr="003E76B0" w:rsidRDefault="003E76B0" w:rsidP="003E76B0">
      <w:pPr>
        <w:numPr>
          <w:ilvl w:val="0"/>
          <w:numId w:val="53"/>
        </w:numPr>
        <w:tabs>
          <w:tab w:val="left" w:pos="851"/>
          <w:tab w:val="left" w:pos="1134"/>
        </w:tabs>
        <w:spacing w:before="120" w:after="120" w:line="276" w:lineRule="auto"/>
        <w:ind w:left="851" w:firstLine="0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 w:val="0"/>
          <w:i w:val="0"/>
          <w:szCs w:val="24"/>
        </w:rPr>
        <w:t>recebido recurso;</w:t>
      </w:r>
    </w:p>
    <w:p w14:paraId="47557BCF" w14:textId="77777777" w:rsidR="003E76B0" w:rsidRPr="003E76B0" w:rsidRDefault="003E76B0" w:rsidP="003E76B0">
      <w:pPr>
        <w:numPr>
          <w:ilvl w:val="0"/>
          <w:numId w:val="53"/>
        </w:numPr>
        <w:tabs>
          <w:tab w:val="left" w:pos="851"/>
          <w:tab w:val="left" w:pos="1134"/>
        </w:tabs>
        <w:spacing w:before="120" w:after="120" w:line="276" w:lineRule="auto"/>
        <w:ind w:left="851" w:firstLine="0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 w:val="0"/>
          <w:i w:val="0"/>
          <w:szCs w:val="24"/>
        </w:rPr>
        <w:t>atos preliminares/licitação/outras formalidades;</w:t>
      </w:r>
    </w:p>
    <w:p w14:paraId="357B7F81" w14:textId="77777777" w:rsidR="003E76B0" w:rsidRPr="003E76B0" w:rsidRDefault="003E76B0" w:rsidP="003E76B0">
      <w:pPr>
        <w:numPr>
          <w:ilvl w:val="0"/>
          <w:numId w:val="53"/>
        </w:numPr>
        <w:tabs>
          <w:tab w:val="left" w:pos="851"/>
          <w:tab w:val="left" w:pos="1134"/>
        </w:tabs>
        <w:spacing w:before="120" w:after="120" w:line="276" w:lineRule="auto"/>
        <w:ind w:left="851" w:firstLine="0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 w:val="0"/>
          <w:i w:val="0"/>
          <w:szCs w:val="24"/>
        </w:rPr>
        <w:t>em execução;</w:t>
      </w:r>
    </w:p>
    <w:p w14:paraId="5DD74064" w14:textId="77777777" w:rsidR="003E76B0" w:rsidRPr="003E76B0" w:rsidRDefault="003E76B0" w:rsidP="003E76B0">
      <w:pPr>
        <w:numPr>
          <w:ilvl w:val="0"/>
          <w:numId w:val="53"/>
        </w:numPr>
        <w:tabs>
          <w:tab w:val="left" w:pos="851"/>
          <w:tab w:val="left" w:pos="1134"/>
        </w:tabs>
        <w:spacing w:before="120" w:after="120" w:line="276" w:lineRule="auto"/>
        <w:ind w:left="851" w:firstLine="0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 w:val="0"/>
          <w:i w:val="0"/>
          <w:szCs w:val="24"/>
        </w:rPr>
        <w:t>concluída;</w:t>
      </w:r>
    </w:p>
    <w:p w14:paraId="25CE35F0" w14:textId="77777777" w:rsidR="003E76B0" w:rsidRPr="003E76B0" w:rsidRDefault="003E76B0" w:rsidP="003E76B0">
      <w:pPr>
        <w:numPr>
          <w:ilvl w:val="0"/>
          <w:numId w:val="53"/>
        </w:numPr>
        <w:tabs>
          <w:tab w:val="left" w:pos="851"/>
          <w:tab w:val="left" w:pos="1134"/>
        </w:tabs>
        <w:spacing w:before="120" w:after="120" w:line="276" w:lineRule="auto"/>
        <w:ind w:left="851" w:firstLine="0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 w:val="0"/>
          <w:i w:val="0"/>
          <w:szCs w:val="24"/>
        </w:rPr>
        <w:t>recurso devolvido;</w:t>
      </w:r>
    </w:p>
    <w:p w14:paraId="72F80A75" w14:textId="77777777" w:rsidR="003E76B0" w:rsidRPr="003E76B0" w:rsidRDefault="003E76B0" w:rsidP="003E76B0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Cs/>
          <w:i w:val="0"/>
          <w:szCs w:val="24"/>
        </w:rPr>
        <w:t>Parágrafo Único</w:t>
      </w:r>
      <w:r w:rsidRPr="003E76B0">
        <w:rPr>
          <w:rFonts w:ascii="Arial" w:hAnsi="Arial" w:cs="Arial"/>
          <w:b w:val="0"/>
          <w:i w:val="0"/>
          <w:szCs w:val="24"/>
        </w:rPr>
        <w:t>. Caso o recurso não seja utilizado, seja perdido ou não implementado, a divulgação deverá informar, de forma clara, objetiva e acessível, os motivos que impediram sua utilização, ou que acarretaram na inexecução nos termos planejados.</w:t>
      </w:r>
    </w:p>
    <w:p w14:paraId="30B61547" w14:textId="77777777" w:rsidR="003E76B0" w:rsidRPr="003E76B0" w:rsidRDefault="003E76B0" w:rsidP="003E76B0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Cs/>
          <w:i w:val="0"/>
          <w:szCs w:val="24"/>
        </w:rPr>
        <w:t>Art. 4º</w:t>
      </w:r>
      <w:r w:rsidRPr="003E76B0">
        <w:rPr>
          <w:rFonts w:ascii="Arial" w:hAnsi="Arial" w:cs="Arial"/>
          <w:b w:val="0"/>
          <w:i w:val="0"/>
          <w:szCs w:val="24"/>
        </w:rPr>
        <w:t>. A divulgação de que trata o artigo segundo em relação às Emendas Parlamentares deverá conter, obrigatoriamente, as seguintes informações:</w:t>
      </w:r>
    </w:p>
    <w:p w14:paraId="545B187D" w14:textId="77777777" w:rsidR="003E76B0" w:rsidRPr="003E76B0" w:rsidRDefault="003E76B0" w:rsidP="003E76B0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 w:val="0"/>
          <w:i w:val="0"/>
          <w:szCs w:val="24"/>
        </w:rPr>
        <w:t>I – Identificação do requerente e do parlamentar proponente da emenda e partido;</w:t>
      </w:r>
    </w:p>
    <w:p w14:paraId="45C74921" w14:textId="77777777" w:rsidR="003E76B0" w:rsidRPr="003E76B0" w:rsidRDefault="003E76B0" w:rsidP="003E76B0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 w:val="0"/>
          <w:i w:val="0"/>
          <w:szCs w:val="24"/>
        </w:rPr>
        <w:t>II – Valor total da emenda parlamentar destinada ao Município;</w:t>
      </w:r>
    </w:p>
    <w:p w14:paraId="094D490A" w14:textId="77777777" w:rsidR="003E76B0" w:rsidRPr="003E76B0" w:rsidRDefault="003E76B0" w:rsidP="003E76B0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 w:val="0"/>
          <w:i w:val="0"/>
          <w:szCs w:val="24"/>
        </w:rPr>
        <w:t>III – Finalidade e objetivo da emenda parlamentar;</w:t>
      </w:r>
    </w:p>
    <w:p w14:paraId="74F7B422" w14:textId="77777777" w:rsidR="003E76B0" w:rsidRPr="003E76B0" w:rsidRDefault="003E76B0" w:rsidP="003E76B0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 w:val="0"/>
          <w:i w:val="0"/>
          <w:szCs w:val="24"/>
        </w:rPr>
        <w:t>IV – Projeto, programa ou ação municipal beneficiado pela emenda;</w:t>
      </w:r>
    </w:p>
    <w:p w14:paraId="5DC682B2" w14:textId="77777777" w:rsidR="003E76B0" w:rsidRPr="003E76B0" w:rsidRDefault="003E76B0" w:rsidP="003E76B0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 w:val="0"/>
          <w:i w:val="0"/>
          <w:szCs w:val="24"/>
        </w:rPr>
        <w:t>V – Data da destinação da emenda parlamentar;</w:t>
      </w:r>
    </w:p>
    <w:p w14:paraId="2390DABB" w14:textId="77777777" w:rsidR="003E76B0" w:rsidRPr="003E76B0" w:rsidRDefault="003E76B0" w:rsidP="003E76B0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 w:val="0"/>
          <w:i w:val="0"/>
          <w:szCs w:val="24"/>
        </w:rPr>
        <w:t>VI – Órgão ou entidade municipal responsável pela execução da emenda parlamentar.</w:t>
      </w:r>
    </w:p>
    <w:p w14:paraId="0723F946" w14:textId="77777777" w:rsidR="003E76B0" w:rsidRPr="003E76B0" w:rsidRDefault="003E76B0" w:rsidP="003E76B0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 w:val="0"/>
          <w:i w:val="0"/>
          <w:szCs w:val="24"/>
        </w:rPr>
        <w:t>VII – A situação da execução da emenda parlamentar, juntamente com seu respectivo status, podendo ser:</w:t>
      </w:r>
    </w:p>
    <w:p w14:paraId="0A1EB4E5" w14:textId="77777777" w:rsidR="003E76B0" w:rsidRPr="003E76B0" w:rsidRDefault="003E76B0" w:rsidP="003E76B0">
      <w:pPr>
        <w:numPr>
          <w:ilvl w:val="0"/>
          <w:numId w:val="54"/>
        </w:numPr>
        <w:tabs>
          <w:tab w:val="num" w:pos="851"/>
          <w:tab w:val="left" w:pos="1134"/>
        </w:tabs>
        <w:spacing w:before="120" w:after="120" w:line="276" w:lineRule="auto"/>
        <w:ind w:left="851" w:firstLine="0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 w:val="0"/>
          <w:i w:val="0"/>
          <w:szCs w:val="24"/>
        </w:rPr>
        <w:t>fase de empenho orçamentário</w:t>
      </w:r>
    </w:p>
    <w:p w14:paraId="570E6D16" w14:textId="77777777" w:rsidR="003E76B0" w:rsidRPr="003E76B0" w:rsidRDefault="003E76B0" w:rsidP="003E76B0">
      <w:pPr>
        <w:numPr>
          <w:ilvl w:val="0"/>
          <w:numId w:val="54"/>
        </w:numPr>
        <w:tabs>
          <w:tab w:val="num" w:pos="851"/>
          <w:tab w:val="left" w:pos="1134"/>
        </w:tabs>
        <w:spacing w:before="120" w:after="120" w:line="276" w:lineRule="auto"/>
        <w:ind w:left="851" w:firstLine="0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 w:val="0"/>
          <w:i w:val="0"/>
          <w:szCs w:val="24"/>
        </w:rPr>
        <w:t>recebida;</w:t>
      </w:r>
    </w:p>
    <w:p w14:paraId="5F7BD229" w14:textId="77777777" w:rsidR="003E76B0" w:rsidRPr="003E76B0" w:rsidRDefault="003E76B0" w:rsidP="003E76B0">
      <w:pPr>
        <w:numPr>
          <w:ilvl w:val="0"/>
          <w:numId w:val="54"/>
        </w:numPr>
        <w:tabs>
          <w:tab w:val="num" w:pos="851"/>
          <w:tab w:val="left" w:pos="1134"/>
        </w:tabs>
        <w:spacing w:before="120" w:after="120" w:line="276" w:lineRule="auto"/>
        <w:ind w:left="851" w:firstLine="0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 w:val="0"/>
          <w:i w:val="0"/>
          <w:szCs w:val="24"/>
        </w:rPr>
        <w:t>atos preliminares/licitação/outras formalidades;</w:t>
      </w:r>
    </w:p>
    <w:p w14:paraId="2C3A61B0" w14:textId="77777777" w:rsidR="003E76B0" w:rsidRPr="003E76B0" w:rsidRDefault="003E76B0" w:rsidP="003E76B0">
      <w:pPr>
        <w:numPr>
          <w:ilvl w:val="0"/>
          <w:numId w:val="54"/>
        </w:numPr>
        <w:tabs>
          <w:tab w:val="num" w:pos="851"/>
          <w:tab w:val="left" w:pos="1134"/>
        </w:tabs>
        <w:spacing w:before="120" w:after="120" w:line="276" w:lineRule="auto"/>
        <w:ind w:left="851" w:firstLine="0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 w:val="0"/>
          <w:i w:val="0"/>
          <w:szCs w:val="24"/>
        </w:rPr>
        <w:t>em execução;</w:t>
      </w:r>
    </w:p>
    <w:p w14:paraId="56C25AE7" w14:textId="77777777" w:rsidR="003E76B0" w:rsidRPr="003E76B0" w:rsidRDefault="003E76B0" w:rsidP="003E76B0">
      <w:pPr>
        <w:numPr>
          <w:ilvl w:val="0"/>
          <w:numId w:val="54"/>
        </w:numPr>
        <w:tabs>
          <w:tab w:val="num" w:pos="851"/>
          <w:tab w:val="left" w:pos="1134"/>
        </w:tabs>
        <w:spacing w:before="120" w:after="120" w:line="276" w:lineRule="auto"/>
        <w:ind w:left="851" w:firstLine="0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 w:val="0"/>
          <w:i w:val="0"/>
          <w:szCs w:val="24"/>
        </w:rPr>
        <w:t>concluída;</w:t>
      </w:r>
    </w:p>
    <w:p w14:paraId="79263212" w14:textId="77777777" w:rsidR="003E76B0" w:rsidRPr="003E76B0" w:rsidRDefault="003E76B0" w:rsidP="003E76B0">
      <w:pPr>
        <w:numPr>
          <w:ilvl w:val="0"/>
          <w:numId w:val="54"/>
        </w:numPr>
        <w:tabs>
          <w:tab w:val="num" w:pos="851"/>
          <w:tab w:val="left" w:pos="1134"/>
        </w:tabs>
        <w:spacing w:before="120" w:after="120" w:line="276" w:lineRule="auto"/>
        <w:ind w:left="851" w:firstLine="0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 w:val="0"/>
          <w:i w:val="0"/>
          <w:szCs w:val="24"/>
        </w:rPr>
        <w:t>devolvida;</w:t>
      </w:r>
    </w:p>
    <w:p w14:paraId="495BDACB" w14:textId="77777777" w:rsidR="003E76B0" w:rsidRPr="003E76B0" w:rsidRDefault="003E76B0" w:rsidP="003E76B0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Cs/>
          <w:i w:val="0"/>
          <w:szCs w:val="24"/>
        </w:rPr>
        <w:t>Parágrafo Único</w:t>
      </w:r>
      <w:r w:rsidRPr="003E76B0">
        <w:rPr>
          <w:rFonts w:ascii="Arial" w:hAnsi="Arial" w:cs="Arial"/>
          <w:b w:val="0"/>
          <w:i w:val="0"/>
          <w:szCs w:val="24"/>
        </w:rPr>
        <w:t>. Caso o recurso da emenda parlamentar não seja utilizado, seja perdido ou não implementado, a divulgação deverá informar, de forma clara, objetiva e acessível, os motivos que impediram sua utilização, ou que acarretaram na inexecução nos termos planejados.</w:t>
      </w:r>
    </w:p>
    <w:p w14:paraId="63E57A21" w14:textId="77777777" w:rsidR="003E76B0" w:rsidRPr="003E76B0" w:rsidRDefault="003E76B0" w:rsidP="003E76B0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Cs/>
          <w:i w:val="0"/>
          <w:szCs w:val="24"/>
        </w:rPr>
        <w:t>Art. 5º</w:t>
      </w:r>
      <w:r w:rsidRPr="003E76B0">
        <w:rPr>
          <w:rFonts w:ascii="Arial" w:hAnsi="Arial" w:cs="Arial"/>
          <w:b w:val="0"/>
          <w:i w:val="0"/>
          <w:szCs w:val="24"/>
        </w:rPr>
        <w:t>. A responsabilidade pela coleta, consolidação e disponibilização das informações será da Secretaria Municipal da Fazenda, ou outro órgão equivalente que vier a substituí-la.</w:t>
      </w:r>
    </w:p>
    <w:p w14:paraId="758B42C4" w14:textId="77777777" w:rsidR="003E76B0" w:rsidRPr="003E76B0" w:rsidRDefault="003E76B0" w:rsidP="003E76B0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Cs/>
          <w:i w:val="0"/>
          <w:szCs w:val="24"/>
        </w:rPr>
        <w:lastRenderedPageBreak/>
        <w:t>Art. 6º</w:t>
      </w:r>
      <w:r w:rsidRPr="003E76B0">
        <w:rPr>
          <w:rFonts w:ascii="Arial" w:hAnsi="Arial" w:cs="Arial"/>
          <w:b w:val="0"/>
          <w:i w:val="0"/>
          <w:szCs w:val="24"/>
        </w:rPr>
        <w:t>. O descumprimento do disposto nesta Lei poderá ensejar a responsabilização administrativa dos agentes públicos designados, nos termos da legislação vigente.</w:t>
      </w:r>
    </w:p>
    <w:p w14:paraId="7A8D3FED" w14:textId="77777777" w:rsidR="003E76B0" w:rsidRPr="003E76B0" w:rsidRDefault="003E76B0" w:rsidP="003E76B0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Cs/>
          <w:i w:val="0"/>
          <w:szCs w:val="24"/>
        </w:rPr>
        <w:t>Art. 7º</w:t>
      </w:r>
      <w:r w:rsidRPr="003E76B0">
        <w:rPr>
          <w:rFonts w:ascii="Arial" w:hAnsi="Arial" w:cs="Arial"/>
          <w:b w:val="0"/>
          <w:i w:val="0"/>
          <w:szCs w:val="24"/>
        </w:rPr>
        <w:t>. O Poder Executivo poderá regulamentar esta Lei, no que couber, no prazo de até 90 (noventa) dias contados da data de sua publicação.</w:t>
      </w:r>
    </w:p>
    <w:p w14:paraId="17DA6880" w14:textId="77777777" w:rsidR="003E76B0" w:rsidRPr="003E76B0" w:rsidRDefault="003E76B0" w:rsidP="003E76B0">
      <w:pPr>
        <w:spacing w:before="120" w:after="120" w:line="276" w:lineRule="auto"/>
        <w:ind w:firstLine="567"/>
        <w:rPr>
          <w:rFonts w:ascii="Arial" w:hAnsi="Arial" w:cs="Arial"/>
          <w:b w:val="0"/>
          <w:i w:val="0"/>
          <w:szCs w:val="24"/>
        </w:rPr>
      </w:pPr>
      <w:r w:rsidRPr="003E76B0">
        <w:rPr>
          <w:rFonts w:ascii="Arial" w:hAnsi="Arial" w:cs="Arial"/>
          <w:bCs/>
          <w:i w:val="0"/>
          <w:szCs w:val="24"/>
        </w:rPr>
        <w:t>Art. 8º</w:t>
      </w:r>
      <w:r w:rsidRPr="003E76B0">
        <w:rPr>
          <w:rFonts w:ascii="Arial" w:hAnsi="Arial" w:cs="Arial"/>
          <w:b w:val="0"/>
          <w:i w:val="0"/>
          <w:szCs w:val="24"/>
        </w:rPr>
        <w:t>. Esta Lei entra em vigor na data de sua publicação.</w:t>
      </w:r>
    </w:p>
    <w:p w14:paraId="033EA221" w14:textId="77777777" w:rsidR="003E76B0" w:rsidRDefault="003E76B0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01FC7E42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3E76B0">
        <w:rPr>
          <w:rFonts w:ascii="Arial" w:hAnsi="Arial" w:cs="Arial"/>
          <w:b w:val="0"/>
          <w:i w:val="0"/>
          <w:szCs w:val="24"/>
        </w:rPr>
        <w:t>24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536891">
        <w:rPr>
          <w:rFonts w:ascii="Arial" w:hAnsi="Arial" w:cs="Arial"/>
          <w:b w:val="0"/>
          <w:i w:val="0"/>
          <w:szCs w:val="24"/>
        </w:rPr>
        <w:t>setembro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914C88" w14:textId="77777777" w:rsidR="00227BBB" w:rsidRDefault="00227BBB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5A0B702D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E05690" w:rsidSect="0091716C">
      <w:headerReference w:type="default" r:id="rId9"/>
      <w:footerReference w:type="default" r:id="rId10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4A75D" w14:textId="77777777" w:rsidR="000D0EDC" w:rsidRDefault="000D0EDC" w:rsidP="00D9258E">
      <w:r>
        <w:separator/>
      </w:r>
    </w:p>
  </w:endnote>
  <w:endnote w:type="continuationSeparator" w:id="0">
    <w:p w14:paraId="1820EAAF" w14:textId="77777777" w:rsidR="000D0EDC" w:rsidRDefault="000D0EDC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F8F9E" w14:textId="77777777" w:rsidR="000D0EDC" w:rsidRDefault="000D0EDC" w:rsidP="00D9258E">
      <w:r>
        <w:separator/>
      </w:r>
    </w:p>
  </w:footnote>
  <w:footnote w:type="continuationSeparator" w:id="0">
    <w:p w14:paraId="71A81D5B" w14:textId="77777777" w:rsidR="000D0EDC" w:rsidRDefault="000D0EDC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6B158E"/>
    <w:multiLevelType w:val="multilevel"/>
    <w:tmpl w:val="B3648D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B602209"/>
    <w:multiLevelType w:val="multilevel"/>
    <w:tmpl w:val="DAFA54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9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0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8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5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6"/>
  </w:num>
  <w:num w:numId="19" w16cid:durableId="2143689142">
    <w:abstractNumId w:val="44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50"/>
  </w:num>
  <w:num w:numId="26" w16cid:durableId="488905028">
    <w:abstractNumId w:val="47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51"/>
  </w:num>
  <w:num w:numId="31" w16cid:durableId="7022586">
    <w:abstractNumId w:val="7"/>
  </w:num>
  <w:num w:numId="32" w16cid:durableId="1126003717">
    <w:abstractNumId w:val="41"/>
  </w:num>
  <w:num w:numId="33" w16cid:durableId="88919709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9"/>
  </w:num>
  <w:num w:numId="52" w16cid:durableId="588276611">
    <w:abstractNumId w:val="23"/>
  </w:num>
  <w:num w:numId="53" w16cid:durableId="757483138">
    <w:abstractNumId w:val="42"/>
  </w:num>
  <w:num w:numId="54" w16cid:durableId="28654842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0ED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E76B0"/>
    <w:rsid w:val="003F4300"/>
    <w:rsid w:val="003F785C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9728A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13E"/>
    <w:rsid w:val="00717C34"/>
    <w:rsid w:val="007225DF"/>
    <w:rsid w:val="007300B2"/>
    <w:rsid w:val="00731ABE"/>
    <w:rsid w:val="00734006"/>
    <w:rsid w:val="00736295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6DE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A65"/>
    <w:rsid w:val="008C5BDB"/>
    <w:rsid w:val="008D04DF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3EC1"/>
    <w:rsid w:val="009C75AB"/>
    <w:rsid w:val="009D09E3"/>
    <w:rsid w:val="009D2412"/>
    <w:rsid w:val="009D3B2D"/>
    <w:rsid w:val="009D6499"/>
    <w:rsid w:val="009E3271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39F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0013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2BE9"/>
    <w:rsid w:val="00F6539E"/>
    <w:rsid w:val="00F71842"/>
    <w:rsid w:val="00F74878"/>
    <w:rsid w:val="00F7596F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2/lei-organica-bom-retiro-do-sul-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2025-09-17T12:32:00Z</cp:lastPrinted>
  <dcterms:created xsi:type="dcterms:W3CDTF">2025-09-24T13:38:00Z</dcterms:created>
  <dcterms:modified xsi:type="dcterms:W3CDTF">2025-09-24T13:38:00Z</dcterms:modified>
</cp:coreProperties>
</file>