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77BA024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716B14">
        <w:rPr>
          <w:rFonts w:ascii="Arial" w:hAnsi="Arial" w:cs="Arial"/>
          <w:b w:val="0"/>
          <w:i w:val="0"/>
          <w:szCs w:val="24"/>
          <w:u w:val="single"/>
        </w:rPr>
        <w:t>40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66126883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A42467">
        <w:rPr>
          <w:rFonts w:ascii="Arial" w:hAnsi="Arial" w:cs="Arial"/>
          <w:i w:val="0"/>
          <w:szCs w:val="24"/>
          <w:u w:val="single"/>
        </w:rPr>
        <w:t>02</w:t>
      </w:r>
      <w:r w:rsidR="00716B14">
        <w:rPr>
          <w:rFonts w:ascii="Arial" w:hAnsi="Arial" w:cs="Arial"/>
          <w:i w:val="0"/>
          <w:szCs w:val="24"/>
          <w:u w:val="single"/>
        </w:rPr>
        <w:t>6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A42467">
        <w:rPr>
          <w:rFonts w:ascii="Arial" w:hAnsi="Arial" w:cs="Arial"/>
          <w:i w:val="0"/>
          <w:szCs w:val="24"/>
          <w:u w:val="single"/>
        </w:rPr>
        <w:t>LEGISLATIVO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08D0B30A" w14:textId="449EA721" w:rsidR="00716B14" w:rsidRPr="00716B14" w:rsidRDefault="00716B14" w:rsidP="00716B14">
      <w:pPr>
        <w:spacing w:line="276" w:lineRule="auto"/>
        <w:ind w:left="3828"/>
        <w:jc w:val="both"/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</w:pPr>
      <w:bookmarkStart w:id="1" w:name="_Hlk187925085"/>
      <w:bookmarkStart w:id="2" w:name="_Hlk206571360"/>
      <w:r w:rsidRPr="00716B14">
        <w:rPr>
          <w:rFonts w:ascii="Arial" w:eastAsia="Batang" w:hAnsi="Arial" w:cs="Arial"/>
          <w:b w:val="0"/>
          <w:bCs/>
          <w:i w:val="0"/>
          <w:color w:val="000000"/>
          <w:sz w:val="22"/>
          <w:szCs w:val="22"/>
        </w:rPr>
        <w:t>Disciplina o processo legislativo e administrativo de denominação e alteração de nomes de vias, logradouros, praças, prédios públicos, auditórios, salas, parques e demais bens públicos do Município de Bom Retiro do Sul, estabelece diretrizes gerais, e dá outras providências.</w:t>
      </w:r>
    </w:p>
    <w:p w14:paraId="49712EF2" w14:textId="77777777" w:rsidR="00716B14" w:rsidRPr="00716B14" w:rsidRDefault="00716B14" w:rsidP="00716B14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1622C91E" w14:textId="77777777" w:rsidR="00716B14" w:rsidRPr="00716B14" w:rsidRDefault="00716B14" w:rsidP="00716B14">
      <w:pPr>
        <w:spacing w:line="360" w:lineRule="auto"/>
        <w:jc w:val="both"/>
        <w:rPr>
          <w:rFonts w:ascii="Arial" w:eastAsia="Batang" w:hAnsi="Arial" w:cs="Arial"/>
          <w:b w:val="0"/>
          <w:bCs/>
          <w:i w:val="0"/>
          <w:color w:val="000000"/>
          <w:sz w:val="20"/>
        </w:rPr>
      </w:pPr>
    </w:p>
    <w:p w14:paraId="4F8A3726" w14:textId="77777777" w:rsidR="00716B14" w:rsidRPr="00716B14" w:rsidRDefault="00716B14" w:rsidP="00716B14">
      <w:pPr>
        <w:suppressAutoHyphens/>
        <w:ind w:firstLine="851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716B14">
        <w:rPr>
          <w:rFonts w:ascii="Arial" w:hAnsi="Arial" w:cs="Arial"/>
          <w:i w:val="0"/>
          <w:szCs w:val="24"/>
          <w:lang w:eastAsia="ar-SA"/>
        </w:rPr>
        <w:t>CELSO PAZUCH</w:t>
      </w:r>
      <w:r w:rsidRPr="00716B14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04728FF0" w14:textId="77777777" w:rsidR="00716B14" w:rsidRPr="00716B14" w:rsidRDefault="00716B14" w:rsidP="00716B14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3A08A994" w14:textId="77777777" w:rsidR="00716B14" w:rsidRPr="00716B14" w:rsidRDefault="00716B14" w:rsidP="00716B14">
      <w:pPr>
        <w:spacing w:after="200" w:line="276" w:lineRule="auto"/>
        <w:ind w:firstLine="851"/>
        <w:jc w:val="both"/>
        <w:rPr>
          <w:rFonts w:ascii="Arial" w:eastAsia="Batang" w:hAnsi="Arial" w:cs="Arial"/>
          <w:b w:val="0"/>
          <w:bCs/>
          <w:i w:val="0"/>
          <w:szCs w:val="24"/>
        </w:rPr>
      </w:pPr>
      <w:r w:rsidRPr="00716B14">
        <w:rPr>
          <w:rFonts w:ascii="Arial" w:eastAsia="Batang" w:hAnsi="Arial" w:cs="Arial"/>
          <w:i w:val="0"/>
          <w:szCs w:val="24"/>
        </w:rPr>
        <w:t>FAÇO SABER</w:t>
      </w:r>
      <w:r w:rsidRPr="00716B14">
        <w:rPr>
          <w:rFonts w:ascii="Arial" w:eastAsia="Batang" w:hAnsi="Arial" w:cs="Arial"/>
          <w:b w:val="0"/>
          <w:bCs/>
          <w:i w:val="0"/>
          <w:szCs w:val="24"/>
        </w:rPr>
        <w:t xml:space="preserve"> que o Poder Legislativo aprovou e eu sanciono e promulgo a seguinte Lei:</w:t>
      </w:r>
    </w:p>
    <w:p w14:paraId="795E5FDD" w14:textId="77777777" w:rsidR="00716B14" w:rsidRPr="00716B14" w:rsidRDefault="00716B14" w:rsidP="00716B14">
      <w:pPr>
        <w:spacing w:before="240" w:after="240" w:line="360" w:lineRule="auto"/>
        <w:ind w:firstLine="851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i w:val="0"/>
          <w:color w:val="000000"/>
          <w:szCs w:val="24"/>
        </w:rPr>
        <w:t>Art. 1°.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Esta Lei disciplina o processo legislativo e administrativo de denominação e alteração de nomes de vias, logradouros, praças, prédios públicos, auditórios, salas, parques e demais bens públicos do Município de Bom Retiro do Sul:</w:t>
      </w:r>
    </w:p>
    <w:p w14:paraId="34909DF8" w14:textId="77777777" w:rsidR="00716B14" w:rsidRPr="00716B14" w:rsidRDefault="00716B14" w:rsidP="00716B14">
      <w:pPr>
        <w:spacing w:before="240" w:after="240" w:line="360" w:lineRule="auto"/>
        <w:ind w:firstLine="851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Parágrafo Único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>. A denominação ou alteração de nomes de vias, logradouros, praças, prédios públicos, auditórios, salas, parques e demais bens públicos do Município somente poderá ocorrer mediante lei específica, aprovada pela Câmara Municipal e sancionada pelo Prefeito</w:t>
      </w:r>
    </w:p>
    <w:p w14:paraId="2B08F029" w14:textId="77777777" w:rsidR="00716B14" w:rsidRPr="00716B14" w:rsidRDefault="00716B14" w:rsidP="00716B14">
      <w:pPr>
        <w:spacing w:before="240" w:after="240" w:line="360" w:lineRule="auto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10F23029" w14:textId="77777777" w:rsidR="00716B14" w:rsidRPr="00716B14" w:rsidRDefault="00716B14" w:rsidP="00716B14">
      <w:pPr>
        <w:spacing w:before="240" w:after="240" w:line="360" w:lineRule="auto"/>
        <w:ind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ab/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ab/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ab/>
      </w: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Capítulo I – Das Diretrizes Gerais</w:t>
      </w:r>
    </w:p>
    <w:p w14:paraId="362E5183" w14:textId="77777777" w:rsidR="00716B14" w:rsidRPr="00716B14" w:rsidRDefault="00716B14" w:rsidP="00716B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Batang" w:hAnsi="Arial" w:cs="Arial"/>
          <w:b w:val="0"/>
          <w:szCs w:val="24"/>
        </w:rPr>
      </w:pPr>
      <w:r w:rsidRPr="00716B14">
        <w:rPr>
          <w:rFonts w:ascii="Arial" w:eastAsia="Batang" w:hAnsi="Arial" w:cs="Arial"/>
          <w:bCs/>
          <w:i w:val="0"/>
          <w:iCs/>
          <w:szCs w:val="24"/>
        </w:rPr>
        <w:t>Art. 2º</w:t>
      </w:r>
      <w:r w:rsidRPr="00716B14">
        <w:rPr>
          <w:rFonts w:ascii="Arial" w:eastAsia="Batang" w:hAnsi="Arial" w:cs="Arial"/>
          <w:bCs/>
          <w:szCs w:val="24"/>
        </w:rPr>
        <w:t xml:space="preserve"> - </w:t>
      </w:r>
      <w:r w:rsidRPr="00716B14">
        <w:rPr>
          <w:rFonts w:ascii="Arial" w:eastAsia="Batang" w:hAnsi="Arial" w:cs="Arial"/>
          <w:b w:val="0"/>
          <w:i w:val="0"/>
          <w:iCs/>
          <w:szCs w:val="24"/>
        </w:rPr>
        <w:t>A denominação de bens públicos observará os seguintes princípios:</w:t>
      </w:r>
    </w:p>
    <w:p w14:paraId="29F9E668" w14:textId="77777777" w:rsidR="00716B14" w:rsidRPr="00716B14" w:rsidRDefault="00716B14" w:rsidP="00716B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Batang" w:hAnsi="Arial" w:cs="Arial"/>
          <w:b w:val="0"/>
          <w:szCs w:val="24"/>
        </w:rPr>
      </w:pPr>
      <w:r w:rsidRPr="00716B14">
        <w:rPr>
          <w:rFonts w:ascii="Arial" w:eastAsia="Batang" w:hAnsi="Arial" w:cs="Arial"/>
          <w:bCs/>
          <w:szCs w:val="24"/>
        </w:rPr>
        <w:t>I –</w:t>
      </w:r>
      <w:r w:rsidRPr="00716B14">
        <w:rPr>
          <w:rFonts w:ascii="Arial" w:eastAsia="Batang" w:hAnsi="Arial" w:cs="Arial"/>
          <w:b w:val="0"/>
          <w:szCs w:val="24"/>
        </w:rPr>
        <w:t xml:space="preserve"> relevância histórica, cultural, social ou geográfica;</w:t>
      </w:r>
    </w:p>
    <w:p w14:paraId="7308F91F" w14:textId="77777777" w:rsidR="00716B14" w:rsidRPr="00716B14" w:rsidRDefault="00716B14" w:rsidP="00716B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Batang" w:hAnsi="Arial" w:cs="Arial"/>
          <w:b w:val="0"/>
          <w:szCs w:val="24"/>
        </w:rPr>
      </w:pPr>
      <w:r w:rsidRPr="00716B14">
        <w:rPr>
          <w:rFonts w:ascii="Arial" w:eastAsia="Batang" w:hAnsi="Arial" w:cs="Arial"/>
          <w:bCs/>
          <w:szCs w:val="24"/>
        </w:rPr>
        <w:t>II –</w:t>
      </w:r>
      <w:r w:rsidRPr="00716B14">
        <w:rPr>
          <w:rFonts w:ascii="Arial" w:eastAsia="Batang" w:hAnsi="Arial" w:cs="Arial"/>
          <w:b w:val="0"/>
          <w:szCs w:val="24"/>
        </w:rPr>
        <w:t xml:space="preserve"> valorização da memória e identidade local;</w:t>
      </w:r>
    </w:p>
    <w:p w14:paraId="3A4A1632" w14:textId="77777777" w:rsidR="00716B14" w:rsidRPr="00716B14" w:rsidRDefault="00716B14" w:rsidP="00716B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Batang" w:hAnsi="Arial" w:cs="Arial"/>
          <w:b w:val="0"/>
          <w:szCs w:val="24"/>
        </w:rPr>
      </w:pPr>
      <w:r w:rsidRPr="00716B14">
        <w:rPr>
          <w:rFonts w:ascii="Arial" w:eastAsia="Batang" w:hAnsi="Arial" w:cs="Arial"/>
          <w:bCs/>
          <w:szCs w:val="24"/>
        </w:rPr>
        <w:t>III –</w:t>
      </w:r>
      <w:r w:rsidRPr="00716B14">
        <w:rPr>
          <w:rFonts w:ascii="Arial" w:eastAsia="Batang" w:hAnsi="Arial" w:cs="Arial"/>
          <w:b w:val="0"/>
          <w:szCs w:val="24"/>
        </w:rPr>
        <w:t xml:space="preserve"> promoção da igualdade de gênero e inclusão social;</w:t>
      </w:r>
    </w:p>
    <w:p w14:paraId="4742406C" w14:textId="77777777" w:rsidR="00716B14" w:rsidRPr="00716B14" w:rsidRDefault="00716B14" w:rsidP="00716B1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Batang" w:hAnsi="Arial" w:cs="Arial"/>
          <w:b w:val="0"/>
          <w:szCs w:val="24"/>
        </w:rPr>
      </w:pPr>
      <w:r w:rsidRPr="00716B14">
        <w:rPr>
          <w:rFonts w:ascii="Arial" w:eastAsia="Batang" w:hAnsi="Arial" w:cs="Arial"/>
          <w:bCs/>
          <w:szCs w:val="24"/>
        </w:rPr>
        <w:t>IV –</w:t>
      </w:r>
      <w:r w:rsidRPr="00716B14">
        <w:rPr>
          <w:rFonts w:ascii="Arial" w:eastAsia="Batang" w:hAnsi="Arial" w:cs="Arial"/>
          <w:b w:val="0"/>
          <w:szCs w:val="24"/>
        </w:rPr>
        <w:t xml:space="preserve"> clareza e unicidade, vedada duplicidade ou homonímia.</w:t>
      </w:r>
    </w:p>
    <w:p w14:paraId="53AE5B48" w14:textId="77777777" w:rsidR="00716B14" w:rsidRPr="00716B14" w:rsidRDefault="00716B14" w:rsidP="00716B14">
      <w:pPr>
        <w:spacing w:before="240" w:after="240" w:line="360" w:lineRule="auto"/>
        <w:contextualSpacing/>
        <w:jc w:val="both"/>
        <w:rPr>
          <w:rFonts w:ascii="Arial" w:eastAsia="Batang" w:hAnsi="Arial" w:cs="Arial"/>
          <w:b w:val="0"/>
          <w:szCs w:val="24"/>
        </w:rPr>
      </w:pPr>
    </w:p>
    <w:p w14:paraId="62F0B025" w14:textId="77777777" w:rsidR="00716B14" w:rsidRPr="00716B14" w:rsidRDefault="00716B14" w:rsidP="00716B14">
      <w:pPr>
        <w:spacing w:before="240" w:after="240" w:line="360" w:lineRule="auto"/>
        <w:ind w:firstLine="708"/>
        <w:contextualSpacing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i w:val="0"/>
          <w:color w:val="000000"/>
          <w:szCs w:val="24"/>
        </w:rPr>
        <w:t xml:space="preserve"> Art. 3°. 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>É vedada a denominação de bens públicos com nome de pessoa viva.</w:t>
      </w:r>
    </w:p>
    <w:p w14:paraId="46A27739" w14:textId="77777777" w:rsidR="00716B14" w:rsidRPr="00716B14" w:rsidRDefault="00716B14" w:rsidP="00716B14">
      <w:pPr>
        <w:spacing w:before="240" w:after="240"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Parágrafo único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>. A homenagem somente poderá ocorrer após o transcurso de, no mínimo, 2 (dois) anos do falecimento, salvo tratando-se de personalidades de notório reconhecimento nacional ou estadual.</w:t>
      </w:r>
    </w:p>
    <w:p w14:paraId="61C4A23E" w14:textId="77777777" w:rsidR="00716B14" w:rsidRPr="00716B14" w:rsidRDefault="00716B14" w:rsidP="00716B14">
      <w:pPr>
        <w:spacing w:before="240" w:after="240"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i w:val="0"/>
          <w:color w:val="000000"/>
          <w:szCs w:val="24"/>
        </w:rPr>
        <w:lastRenderedPageBreak/>
        <w:t>Art. 4º.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A escolha dos nomes deverá observar, preferencialmente, os seguintes critérios, em rol exemplificativo:</w:t>
      </w:r>
    </w:p>
    <w:p w14:paraId="4F910AE0" w14:textId="77777777" w:rsidR="00716B14" w:rsidRPr="00716B14" w:rsidRDefault="00716B14" w:rsidP="00716B14">
      <w:pPr>
        <w:spacing w:before="240" w:after="240" w:line="360" w:lineRule="auto"/>
        <w:ind w:firstLine="709"/>
        <w:jc w:val="both"/>
        <w:rPr>
          <w:rFonts w:ascii="Arial" w:eastAsia="Batang" w:hAnsi="Arial" w:cs="Arial"/>
          <w:b w:val="0"/>
          <w:iCs/>
          <w:color w:val="000000"/>
          <w:szCs w:val="24"/>
        </w:rPr>
      </w:pPr>
      <w:r w:rsidRPr="00716B14">
        <w:rPr>
          <w:rFonts w:ascii="Arial" w:eastAsia="Batang" w:hAnsi="Arial" w:cs="Arial"/>
          <w:bCs/>
          <w:iCs/>
          <w:color w:val="000000"/>
          <w:szCs w:val="24"/>
        </w:rPr>
        <w:t>I –</w:t>
      </w:r>
      <w:r w:rsidRPr="00716B14">
        <w:rPr>
          <w:rFonts w:ascii="Arial" w:eastAsia="Batang" w:hAnsi="Arial" w:cs="Arial"/>
          <w:b w:val="0"/>
          <w:iCs/>
          <w:color w:val="000000"/>
          <w:szCs w:val="24"/>
        </w:rPr>
        <w:t xml:space="preserve"> pessoas que tenham prestado relevantes serviços à comunidade, ao Município, ao Estado ou à Nação;</w:t>
      </w:r>
    </w:p>
    <w:p w14:paraId="0A5B11DD" w14:textId="77777777" w:rsidR="00716B14" w:rsidRPr="00716B14" w:rsidRDefault="00716B14" w:rsidP="00716B14">
      <w:pPr>
        <w:spacing w:before="240" w:after="240" w:line="360" w:lineRule="auto"/>
        <w:ind w:firstLine="709"/>
        <w:jc w:val="both"/>
        <w:rPr>
          <w:rFonts w:ascii="Arial" w:eastAsia="Batang" w:hAnsi="Arial" w:cs="Arial"/>
          <w:b w:val="0"/>
          <w:iCs/>
          <w:color w:val="000000"/>
          <w:szCs w:val="24"/>
        </w:rPr>
      </w:pPr>
      <w:r w:rsidRPr="00716B14">
        <w:rPr>
          <w:rFonts w:ascii="Arial" w:eastAsia="Batang" w:hAnsi="Arial" w:cs="Arial"/>
          <w:bCs/>
          <w:iCs/>
          <w:color w:val="000000"/>
          <w:szCs w:val="24"/>
        </w:rPr>
        <w:t>II –</w:t>
      </w:r>
      <w:r w:rsidRPr="00716B14">
        <w:rPr>
          <w:rFonts w:ascii="Arial" w:eastAsia="Batang" w:hAnsi="Arial" w:cs="Arial"/>
          <w:b w:val="0"/>
          <w:iCs/>
          <w:color w:val="000000"/>
          <w:szCs w:val="24"/>
        </w:rPr>
        <w:t xml:space="preserve"> datas, fatos ou acontecimentos históricos;</w:t>
      </w:r>
    </w:p>
    <w:p w14:paraId="62C900A2" w14:textId="77777777" w:rsidR="00716B14" w:rsidRPr="00716B14" w:rsidRDefault="00716B14" w:rsidP="00716B14">
      <w:pPr>
        <w:spacing w:before="240" w:after="240" w:line="360" w:lineRule="auto"/>
        <w:ind w:firstLine="709"/>
        <w:jc w:val="both"/>
        <w:rPr>
          <w:rFonts w:ascii="Arial" w:eastAsia="Batang" w:hAnsi="Arial" w:cs="Arial"/>
          <w:b w:val="0"/>
          <w:iCs/>
          <w:color w:val="000000"/>
          <w:szCs w:val="24"/>
        </w:rPr>
      </w:pPr>
      <w:r w:rsidRPr="00716B14">
        <w:rPr>
          <w:rFonts w:ascii="Arial" w:eastAsia="Batang" w:hAnsi="Arial" w:cs="Arial"/>
          <w:bCs/>
          <w:iCs/>
          <w:color w:val="000000"/>
          <w:szCs w:val="24"/>
        </w:rPr>
        <w:t>III –</w:t>
      </w:r>
      <w:r w:rsidRPr="00716B14">
        <w:rPr>
          <w:rFonts w:ascii="Arial" w:eastAsia="Batang" w:hAnsi="Arial" w:cs="Arial"/>
          <w:b w:val="0"/>
          <w:iCs/>
          <w:color w:val="000000"/>
          <w:szCs w:val="24"/>
        </w:rPr>
        <w:t xml:space="preserve"> elementos da fauna, flora, pedras preciosas, acidentes geográficos ou outros de significado cultural e ambiental;</w:t>
      </w:r>
    </w:p>
    <w:p w14:paraId="542A2D47" w14:textId="77777777" w:rsidR="00716B14" w:rsidRPr="00716B14" w:rsidRDefault="00716B14" w:rsidP="00716B14">
      <w:pPr>
        <w:spacing w:before="240" w:after="240" w:line="360" w:lineRule="auto"/>
        <w:ind w:firstLine="709"/>
        <w:jc w:val="both"/>
        <w:rPr>
          <w:rFonts w:ascii="Arial" w:eastAsia="Batang" w:hAnsi="Arial" w:cs="Arial"/>
          <w:b w:val="0"/>
          <w:iCs/>
          <w:color w:val="000000"/>
          <w:szCs w:val="24"/>
        </w:rPr>
      </w:pPr>
      <w:r w:rsidRPr="00716B14">
        <w:rPr>
          <w:rFonts w:ascii="Arial" w:eastAsia="Batang" w:hAnsi="Arial" w:cs="Arial"/>
          <w:bCs/>
          <w:iCs/>
          <w:color w:val="000000"/>
          <w:szCs w:val="24"/>
        </w:rPr>
        <w:t>IV –</w:t>
      </w:r>
      <w:r w:rsidRPr="00716B14">
        <w:rPr>
          <w:rFonts w:ascii="Arial" w:eastAsia="Batang" w:hAnsi="Arial" w:cs="Arial"/>
          <w:b w:val="0"/>
          <w:iCs/>
          <w:color w:val="000000"/>
          <w:szCs w:val="24"/>
        </w:rPr>
        <w:t xml:space="preserve"> nomes de entidades, associações, grupos ou instituições de comprovada relevância local.</w:t>
      </w:r>
    </w:p>
    <w:p w14:paraId="7117E23E" w14:textId="77777777" w:rsidR="00716B14" w:rsidRPr="00716B14" w:rsidRDefault="00716B14" w:rsidP="00716B14">
      <w:pPr>
        <w:spacing w:line="360" w:lineRule="auto"/>
        <w:ind w:left="2123"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Capítulo II – Da Cota de Gênero</w:t>
      </w:r>
    </w:p>
    <w:p w14:paraId="3C4F627A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4C81C932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Art. 5º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Pelo menos 50% (cinquenta por cento) das denominações de bens públicos que homenageiem pessoas físicas, instituídas após a vigência desta Lei, deverão contemplar mulheres.</w:t>
      </w:r>
    </w:p>
    <w:p w14:paraId="2A106C11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530E870A" w14:textId="77777777" w:rsidR="00716B14" w:rsidRPr="00716B14" w:rsidRDefault="00716B14" w:rsidP="00716B14">
      <w:pPr>
        <w:spacing w:line="360" w:lineRule="auto"/>
        <w:ind w:left="2123"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Capítulo III – Do Procedimento</w:t>
      </w:r>
    </w:p>
    <w:p w14:paraId="6F5F73AE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3BE5CD60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Art. 6º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O projeto de lei de denominação deverá ser instruído com:</w:t>
      </w:r>
    </w:p>
    <w:p w14:paraId="7A04BCC1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>I – manifestação da comunidade interessada;</w:t>
      </w:r>
    </w:p>
    <w:p w14:paraId="22CA32FF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>II – planta ou croqui oficial emitido pelo setor competente da Prefeitura;</w:t>
      </w:r>
    </w:p>
    <w:p w14:paraId="42133648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>III – biografia ou justificativa histórica, quando se tratar de pessoa ou fato;</w:t>
      </w:r>
    </w:p>
    <w:p w14:paraId="7616333B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>IV – parecer da Secretaria de Planejamento/Obras sobre duplicidade, pertinência e regularidade.</w:t>
      </w:r>
    </w:p>
    <w:p w14:paraId="4CB85EC9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581924B4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Art. 7º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A denominação de prédios, auditórios, salas e demais equipamentos públicos dependerá de consulta prévia e formal à comunidade diretamente vinculada ao bem.</w:t>
      </w:r>
    </w:p>
    <w:p w14:paraId="57A1E581" w14:textId="77777777" w:rsidR="00716B14" w:rsidRPr="00716B14" w:rsidRDefault="00716B14" w:rsidP="00716B14">
      <w:pPr>
        <w:spacing w:line="360" w:lineRule="auto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78EE7714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§1º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A consulta será realizada por meio de:</w:t>
      </w:r>
    </w:p>
    <w:p w14:paraId="6F5B25B6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I –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audiência pública convocada pelo Poder Executivo ou pela Câmara Municipal, com divulgação mínima de 10 (dez) dias; ou</w:t>
      </w:r>
    </w:p>
    <w:p w14:paraId="16C2A33E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lastRenderedPageBreak/>
        <w:t>II –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manifestação formal do respectivo conselho escolar, conselho gestor ou entidade representativa equivalente, quando houver.</w:t>
      </w:r>
    </w:p>
    <w:p w14:paraId="43FD3932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64880B6D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§2º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Nos locais onde não houver conselho formalmente constituído, a consulta será realizada mediante abaixo-assinado de pelo menos 50% +1 dos usuários diretos ou responsáveis legais, com conferência de autenticidade pela Administração.</w:t>
      </w:r>
    </w:p>
    <w:p w14:paraId="522B53C0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6338CFF4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§3º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O resultado da consulta deverá ser anexado ao processo legislativo de denominação como condição de validade da tramitação.</w:t>
      </w:r>
    </w:p>
    <w:p w14:paraId="158EB05D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1E10A8C5" w14:textId="77777777" w:rsidR="00716B14" w:rsidRPr="00716B14" w:rsidRDefault="00716B14" w:rsidP="00716B14">
      <w:pPr>
        <w:spacing w:line="360" w:lineRule="auto"/>
        <w:ind w:left="1415"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Capítulo IV – Da Sugestão por Loteadores</w:t>
      </w:r>
    </w:p>
    <w:p w14:paraId="00273DE6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7C7E5A19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Art. 8º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Em projetos de loteamento, o loteador poderá sugerir denominações de vias e logradouros no memorial descritivo, vedada sua utilização oficial em publicidade ou documentos antes da publicação da respectiva lei municipal.</w:t>
      </w:r>
    </w:p>
    <w:p w14:paraId="16535E1B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§1º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As sugestões deverão observar os critérios desta Lei, em especial a política de cotas de gênero.</w:t>
      </w:r>
    </w:p>
    <w:p w14:paraId="174DFEC3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§2º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A Administração poderá indeferir denominações inadequadas ou duplicadas.</w:t>
      </w:r>
    </w:p>
    <w:p w14:paraId="26334739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§3º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O descumprimento acarretará multa administrativa e impedirá o registro do loteamento até a regularização.</w:t>
      </w:r>
    </w:p>
    <w:p w14:paraId="18401B05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§4º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É vedada a atribuição de nomes que tenham caráter publicitário, comercial ou que promovam pessoas jurídicas privadas.</w:t>
      </w:r>
    </w:p>
    <w:p w14:paraId="6E5942F7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</w:p>
    <w:p w14:paraId="716AE7C0" w14:textId="77777777" w:rsidR="00716B14" w:rsidRPr="00716B14" w:rsidRDefault="00716B14" w:rsidP="00716B14">
      <w:pPr>
        <w:spacing w:line="360" w:lineRule="auto"/>
        <w:ind w:left="1415"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Capítulo V – Da Alteração de Denominações</w:t>
      </w:r>
    </w:p>
    <w:p w14:paraId="2D49B1DA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7F38D0D5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Art. 9º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É vedada a alteração de denominação já existente, salvo em caso de:</w:t>
      </w:r>
    </w:p>
    <w:p w14:paraId="41B07703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>I – erro material;</w:t>
      </w:r>
    </w:p>
    <w:p w14:paraId="29D27CD7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>II – homonímia ou risco de confusão;</w:t>
      </w:r>
    </w:p>
    <w:p w14:paraId="0B0C1A47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III –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solicitação de pelo menos 2/3 (dois terços) dos proprietários de imóveis diretamente interessados, formalizada e instruída.</w:t>
      </w:r>
    </w:p>
    <w:p w14:paraId="6A58C4EC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</w:p>
    <w:p w14:paraId="6A87753D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</w:p>
    <w:p w14:paraId="69A98764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</w:p>
    <w:p w14:paraId="27BBE630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</w:p>
    <w:p w14:paraId="6E7A97A0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</w:p>
    <w:p w14:paraId="7017CD4F" w14:textId="77777777" w:rsidR="00716B14" w:rsidRPr="00716B14" w:rsidRDefault="00716B14" w:rsidP="00716B14">
      <w:pPr>
        <w:spacing w:line="360" w:lineRule="auto"/>
        <w:ind w:left="1415"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Capítulo VI – Da Transparência e Publicidade</w:t>
      </w:r>
    </w:p>
    <w:p w14:paraId="5C2C3706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2747CD9A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Art. 10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Todas as propostas de denominação e alteração serão publicadas no Portal da Transparência, contendo abaixo-assinados, biografias, croquis e pareceres técnicos.</w:t>
      </w:r>
    </w:p>
    <w:p w14:paraId="08A7606B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</w:p>
    <w:p w14:paraId="182AA9B0" w14:textId="77777777" w:rsidR="00716B14" w:rsidRPr="00716B14" w:rsidRDefault="00716B14" w:rsidP="00716B14">
      <w:pPr>
        <w:spacing w:line="360" w:lineRule="auto"/>
        <w:ind w:left="2831"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Disposições Finais</w:t>
      </w:r>
    </w:p>
    <w:p w14:paraId="37BC7CFC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Cs/>
          <w:i w:val="0"/>
          <w:color w:val="000000"/>
          <w:szCs w:val="24"/>
        </w:rPr>
      </w:pPr>
    </w:p>
    <w:p w14:paraId="5513A44A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Art. 11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O exercício de mandato eletivo ou cargo público não confere direito a homenagens automáticas, devendo ser demonstrada relevância social e histórico-cultural.</w:t>
      </w:r>
    </w:p>
    <w:p w14:paraId="6D92956E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2B7B820A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Art. 12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Revogam-se as disposições em contrário, especialmente a redação anterior da Lei nº 2.789/2005.</w:t>
      </w:r>
    </w:p>
    <w:p w14:paraId="3C3894D2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</w:p>
    <w:p w14:paraId="61B2184D" w14:textId="77777777" w:rsidR="00716B14" w:rsidRPr="00716B14" w:rsidRDefault="00716B14" w:rsidP="00716B14">
      <w:pPr>
        <w:spacing w:line="360" w:lineRule="auto"/>
        <w:ind w:firstLine="709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716B14">
        <w:rPr>
          <w:rFonts w:ascii="Arial" w:eastAsia="Batang" w:hAnsi="Arial" w:cs="Arial"/>
          <w:bCs/>
          <w:i w:val="0"/>
          <w:color w:val="000000"/>
          <w:szCs w:val="24"/>
        </w:rPr>
        <w:t>Art. 13</w:t>
      </w:r>
      <w:r w:rsidRPr="00716B14">
        <w:rPr>
          <w:rFonts w:ascii="Arial" w:eastAsia="Batang" w:hAnsi="Arial" w:cs="Arial"/>
          <w:b w:val="0"/>
          <w:i w:val="0"/>
          <w:color w:val="000000"/>
          <w:szCs w:val="24"/>
        </w:rPr>
        <w:t xml:space="preserve"> O Poder Executivo regulamentará esta Lei no que couber, no prazo de 90 (noventa) dias, para definição dos procedimentos de instrução, validação e publicidade dos atos de denominação.</w:t>
      </w:r>
    </w:p>
    <w:p w14:paraId="1D0DCA79" w14:textId="77777777" w:rsidR="00A42467" w:rsidRDefault="00A42467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2406A163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452C24">
        <w:rPr>
          <w:rFonts w:ascii="Arial" w:hAnsi="Arial" w:cs="Arial"/>
          <w:b w:val="0"/>
          <w:i w:val="0"/>
          <w:szCs w:val="24"/>
        </w:rPr>
        <w:t>0</w:t>
      </w:r>
      <w:r w:rsidR="00716B14">
        <w:rPr>
          <w:rFonts w:ascii="Arial" w:hAnsi="Arial" w:cs="Arial"/>
          <w:b w:val="0"/>
          <w:i w:val="0"/>
          <w:szCs w:val="24"/>
        </w:rPr>
        <w:t>8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452C24">
        <w:rPr>
          <w:rFonts w:ascii="Arial" w:hAnsi="Arial" w:cs="Arial"/>
          <w:b w:val="0"/>
          <w:i w:val="0"/>
          <w:szCs w:val="24"/>
        </w:rPr>
        <w:t>outubro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41914C88" w14:textId="77777777" w:rsidR="00227BBB" w:rsidRDefault="00227BBB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B0014" w14:textId="77777777" w:rsidR="001C501A" w:rsidRDefault="001C501A" w:rsidP="00D9258E">
      <w:r>
        <w:separator/>
      </w:r>
    </w:p>
  </w:endnote>
  <w:endnote w:type="continuationSeparator" w:id="0">
    <w:p w14:paraId="7EFA11D5" w14:textId="77777777" w:rsidR="001C501A" w:rsidRDefault="001C501A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DFB2" w14:textId="77777777" w:rsidR="001C501A" w:rsidRDefault="001C501A" w:rsidP="00D9258E">
      <w:r>
        <w:separator/>
      </w:r>
    </w:p>
  </w:footnote>
  <w:footnote w:type="continuationSeparator" w:id="0">
    <w:p w14:paraId="4CB0CD79" w14:textId="77777777" w:rsidR="001C501A" w:rsidRDefault="001C501A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3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3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5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7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7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8"/>
  </w:num>
  <w:num w:numId="4" w16cid:durableId="923494702">
    <w:abstractNumId w:val="3"/>
  </w:num>
  <w:num w:numId="5" w16cid:durableId="2006544995">
    <w:abstractNumId w:val="46"/>
  </w:num>
  <w:num w:numId="6" w16cid:durableId="1157261883">
    <w:abstractNumId w:val="15"/>
  </w:num>
  <w:num w:numId="7" w16cid:durableId="1931111072">
    <w:abstractNumId w:val="25"/>
  </w:num>
  <w:num w:numId="8" w16cid:durableId="1359694290">
    <w:abstractNumId w:val="18"/>
  </w:num>
  <w:num w:numId="9" w16cid:durableId="1509636840">
    <w:abstractNumId w:val="35"/>
  </w:num>
  <w:num w:numId="10" w16cid:durableId="1014235550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3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8"/>
  </w:num>
  <w:num w:numId="16" w16cid:durableId="18700233">
    <w:abstractNumId w:val="5"/>
  </w:num>
  <w:num w:numId="17" w16cid:durableId="855264263">
    <w:abstractNumId w:val="31"/>
  </w:num>
  <w:num w:numId="18" w16cid:durableId="1225682500">
    <w:abstractNumId w:val="44"/>
  </w:num>
  <w:num w:numId="19" w16cid:durableId="2143689142">
    <w:abstractNumId w:val="42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4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8"/>
  </w:num>
  <w:num w:numId="26" w16cid:durableId="488905028">
    <w:abstractNumId w:val="45"/>
  </w:num>
  <w:num w:numId="27" w16cid:durableId="1642079775">
    <w:abstractNumId w:val="39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9"/>
  </w:num>
  <w:num w:numId="31" w16cid:durableId="7022586">
    <w:abstractNumId w:val="7"/>
  </w:num>
  <w:num w:numId="32" w16cid:durableId="1126003717">
    <w:abstractNumId w:val="40"/>
  </w:num>
  <w:num w:numId="33" w16cid:durableId="88919709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3"/>
  </w:num>
  <w:num w:numId="36" w16cid:durableId="2107261779">
    <w:abstractNumId w:val="27"/>
  </w:num>
  <w:num w:numId="37" w16cid:durableId="779572366">
    <w:abstractNumId w:val="2"/>
  </w:num>
  <w:num w:numId="38" w16cid:durableId="535237955">
    <w:abstractNumId w:val="24"/>
  </w:num>
  <w:num w:numId="39" w16cid:durableId="2104644574">
    <w:abstractNumId w:val="19"/>
  </w:num>
  <w:num w:numId="40" w16cid:durableId="1280181391">
    <w:abstractNumId w:val="37"/>
  </w:num>
  <w:num w:numId="41" w16cid:durableId="2072384996">
    <w:abstractNumId w:val="30"/>
  </w:num>
  <w:num w:numId="42" w16cid:durableId="778180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6"/>
  </w:num>
  <w:num w:numId="44" w16cid:durableId="2079202672">
    <w:abstractNumId w:val="21"/>
  </w:num>
  <w:num w:numId="45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26"/>
  </w:num>
  <w:num w:numId="48" w16cid:durableId="192228757">
    <w:abstractNumId w:val="8"/>
  </w:num>
  <w:num w:numId="49" w16cid:durableId="1542278992">
    <w:abstractNumId w:val="20"/>
  </w:num>
  <w:num w:numId="50" w16cid:durableId="1880780483">
    <w:abstractNumId w:val="32"/>
  </w:num>
  <w:num w:numId="51" w16cid:durableId="290356870">
    <w:abstractNumId w:val="47"/>
  </w:num>
  <w:num w:numId="52" w16cid:durableId="588276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01A"/>
    <w:rsid w:val="001C5347"/>
    <w:rsid w:val="001D680B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1B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0CBF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31A8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2C24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0C7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1D9A"/>
    <w:rsid w:val="006E38CE"/>
    <w:rsid w:val="006F7AD6"/>
    <w:rsid w:val="00700937"/>
    <w:rsid w:val="00700C71"/>
    <w:rsid w:val="00701DA6"/>
    <w:rsid w:val="00713457"/>
    <w:rsid w:val="00714544"/>
    <w:rsid w:val="0071642D"/>
    <w:rsid w:val="00716B14"/>
    <w:rsid w:val="0071713E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10D7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655F2"/>
    <w:rsid w:val="0086627C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532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3271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0E1C"/>
    <w:rsid w:val="00A24F41"/>
    <w:rsid w:val="00A278EA"/>
    <w:rsid w:val="00A30057"/>
    <w:rsid w:val="00A33D19"/>
    <w:rsid w:val="00A34DAE"/>
    <w:rsid w:val="00A3689B"/>
    <w:rsid w:val="00A42467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DF51CB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1DD4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2025-10-01T13:01:00Z</cp:lastPrinted>
  <dcterms:created xsi:type="dcterms:W3CDTF">2025-10-08T12:10:00Z</dcterms:created>
  <dcterms:modified xsi:type="dcterms:W3CDTF">2025-10-08T12:10:00Z</dcterms:modified>
</cp:coreProperties>
</file>