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326E117A" w:rsidR="00CC2703" w:rsidRPr="00CC2703" w:rsidRDefault="00CC2703" w:rsidP="00CC2703">
      <w:pPr>
        <w:tabs>
          <w:tab w:val="left" w:pos="851"/>
        </w:tabs>
        <w:spacing w:line="360" w:lineRule="auto"/>
        <w:ind w:right="-568"/>
        <w:jc w:val="both"/>
        <w:rPr>
          <w:rFonts w:ascii="Arial" w:hAnsi="Arial" w:cs="Arial"/>
          <w:b w:val="0"/>
          <w:i w:val="0"/>
          <w:szCs w:val="24"/>
        </w:rPr>
      </w:pPr>
      <w:bookmarkStart w:id="0" w:name="_Hlk206571269"/>
      <w:r w:rsidRPr="00CC2703">
        <w:rPr>
          <w:rFonts w:ascii="Arial" w:hAnsi="Arial" w:cs="Arial"/>
          <w:b w:val="0"/>
          <w:i w:val="0"/>
          <w:szCs w:val="24"/>
          <w:u w:val="single"/>
        </w:rPr>
        <w:t xml:space="preserve">AUTÓGRAFO Nº </w:t>
      </w:r>
      <w:r w:rsidR="00206ED6">
        <w:rPr>
          <w:rFonts w:ascii="Arial" w:hAnsi="Arial" w:cs="Arial"/>
          <w:b w:val="0"/>
          <w:i w:val="0"/>
          <w:szCs w:val="24"/>
          <w:u w:val="single"/>
        </w:rPr>
        <w:t>1</w:t>
      </w:r>
      <w:r w:rsidR="00716B14">
        <w:rPr>
          <w:rFonts w:ascii="Arial" w:hAnsi="Arial" w:cs="Arial"/>
          <w:b w:val="0"/>
          <w:i w:val="0"/>
          <w:szCs w:val="24"/>
          <w:u w:val="single"/>
        </w:rPr>
        <w:t>4</w:t>
      </w:r>
      <w:r w:rsidR="006F0014">
        <w:rPr>
          <w:rFonts w:ascii="Arial" w:hAnsi="Arial" w:cs="Arial"/>
          <w:b w:val="0"/>
          <w:i w:val="0"/>
          <w:szCs w:val="24"/>
          <w:u w:val="single"/>
        </w:rPr>
        <w:t>1</w:t>
      </w:r>
      <w:r w:rsidRPr="00CC2703">
        <w:rPr>
          <w:rFonts w:ascii="Arial" w:hAnsi="Arial" w:cs="Arial"/>
          <w:b w:val="0"/>
          <w:i w:val="0"/>
          <w:szCs w:val="24"/>
          <w:u w:val="single"/>
        </w:rPr>
        <w:t>/202</w:t>
      </w:r>
      <w:r w:rsidR="0091716C">
        <w:rPr>
          <w:rFonts w:ascii="Arial" w:hAnsi="Arial" w:cs="Arial"/>
          <w:b w:val="0"/>
          <w:i w:val="0"/>
          <w:szCs w:val="24"/>
          <w:u w:val="single"/>
        </w:rPr>
        <w:t>5</w:t>
      </w:r>
    </w:p>
    <w:p w14:paraId="17B7A8F5" w14:textId="773C5E85"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9D43F0">
        <w:rPr>
          <w:rFonts w:ascii="Arial" w:hAnsi="Arial" w:cs="Arial"/>
          <w:i w:val="0"/>
          <w:szCs w:val="24"/>
          <w:u w:val="single"/>
        </w:rPr>
        <w:t>122</w:t>
      </w:r>
      <w:r w:rsidR="00B57F3F">
        <w:rPr>
          <w:rFonts w:ascii="Arial" w:hAnsi="Arial" w:cs="Arial"/>
          <w:i w:val="0"/>
          <w:szCs w:val="24"/>
          <w:u w:val="single"/>
        </w:rPr>
        <w:t>/</w:t>
      </w:r>
      <w:r w:rsidRPr="00CC2703">
        <w:rPr>
          <w:rFonts w:ascii="Arial" w:hAnsi="Arial" w:cs="Arial"/>
          <w:i w:val="0"/>
          <w:szCs w:val="24"/>
          <w:u w:val="single"/>
        </w:rPr>
        <w:t>202</w:t>
      </w:r>
      <w:r w:rsidR="0091716C">
        <w:rPr>
          <w:rFonts w:ascii="Arial" w:hAnsi="Arial" w:cs="Arial"/>
          <w:i w:val="0"/>
          <w:szCs w:val="24"/>
          <w:u w:val="single"/>
        </w:rPr>
        <w:t>5</w:t>
      </w:r>
      <w:r w:rsidRPr="00CC2703">
        <w:rPr>
          <w:rFonts w:ascii="Arial" w:hAnsi="Arial" w:cs="Arial"/>
          <w:i w:val="0"/>
          <w:szCs w:val="24"/>
          <w:u w:val="single"/>
        </w:rPr>
        <w:t xml:space="preserve"> oriundo do Poder </w:t>
      </w:r>
      <w:r w:rsidR="006F0014">
        <w:rPr>
          <w:rFonts w:ascii="Arial" w:hAnsi="Arial" w:cs="Arial"/>
          <w:i w:val="0"/>
          <w:szCs w:val="24"/>
          <w:u w:val="single"/>
        </w:rPr>
        <w:t>EXECUTIVO</w:t>
      </w:r>
    </w:p>
    <w:p w14:paraId="1A9AC69A" w14:textId="77777777" w:rsidR="006F0014" w:rsidRDefault="006F0014" w:rsidP="00CC2703">
      <w:pPr>
        <w:ind w:right="-568"/>
        <w:jc w:val="both"/>
        <w:rPr>
          <w:rFonts w:ascii="Arial" w:hAnsi="Arial" w:cs="Arial"/>
          <w:i w:val="0"/>
          <w:szCs w:val="24"/>
          <w:u w:val="single"/>
        </w:rPr>
      </w:pPr>
    </w:p>
    <w:p w14:paraId="70A54A63" w14:textId="1AF38B3F" w:rsidR="006F0014" w:rsidRPr="006F0014" w:rsidRDefault="006F0014" w:rsidP="006F0014">
      <w:pPr>
        <w:spacing w:before="240" w:after="240" w:line="276" w:lineRule="auto"/>
        <w:ind w:left="4253"/>
        <w:jc w:val="both"/>
        <w:rPr>
          <w:rFonts w:ascii="Arial" w:hAnsi="Arial" w:cs="Arial"/>
          <w:b w:val="0"/>
          <w:i w:val="0"/>
          <w:iCs/>
          <w:sz w:val="20"/>
        </w:rPr>
      </w:pPr>
      <w:r w:rsidRPr="006F0014">
        <w:rPr>
          <w:rFonts w:ascii="Arial" w:hAnsi="Arial" w:cs="Arial"/>
          <w:b w:val="0"/>
          <w:i w:val="0"/>
          <w:iCs/>
          <w:sz w:val="20"/>
        </w:rPr>
        <w:t>Majora as taxas de coleta de lixo previstas no item 4.1 e seus subitens na Tabela 7 da Lei Municipal nº 1858/1997 (Código Tributário Municipal) e dá outras providências.</w:t>
      </w:r>
    </w:p>
    <w:p w14:paraId="1023A85C" w14:textId="77777777" w:rsidR="006F0014" w:rsidRPr="006F0014" w:rsidRDefault="006F0014" w:rsidP="006F0014">
      <w:pPr>
        <w:spacing w:before="240" w:after="240" w:line="276" w:lineRule="auto"/>
        <w:ind w:firstLine="1134"/>
        <w:jc w:val="both"/>
        <w:rPr>
          <w:rFonts w:ascii="Arial" w:hAnsi="Arial" w:cs="Arial"/>
          <w:b w:val="0"/>
          <w:i w:val="0"/>
          <w:szCs w:val="24"/>
        </w:rPr>
      </w:pPr>
      <w:r w:rsidRPr="006F0014">
        <w:rPr>
          <w:rFonts w:ascii="Arial" w:hAnsi="Arial" w:cs="Arial"/>
          <w:szCs w:val="24"/>
        </w:rPr>
        <w:t>CELSO PAZUCH</w:t>
      </w:r>
      <w:r w:rsidRPr="006F0014">
        <w:rPr>
          <w:rFonts w:ascii="Arial" w:hAnsi="Arial" w:cs="Arial"/>
          <w:i w:val="0"/>
          <w:szCs w:val="24"/>
        </w:rPr>
        <w:t xml:space="preserve">, </w:t>
      </w:r>
      <w:r w:rsidRPr="006F0014">
        <w:rPr>
          <w:rFonts w:ascii="Arial" w:hAnsi="Arial" w:cs="Arial"/>
          <w:b w:val="0"/>
          <w:i w:val="0"/>
          <w:szCs w:val="24"/>
        </w:rPr>
        <w:t>Prefeito Municipal de Bom Retiro do Sul, Estado do Rio Grande do Sul, em cumprimento ao disposto no art. 58 da Lei Orgânica do Município.</w:t>
      </w:r>
    </w:p>
    <w:p w14:paraId="42FE9695" w14:textId="77777777" w:rsidR="006F0014" w:rsidRPr="006F0014" w:rsidRDefault="006F0014" w:rsidP="006F0014">
      <w:pPr>
        <w:spacing w:before="240" w:after="240" w:line="276" w:lineRule="auto"/>
        <w:ind w:firstLine="1134"/>
        <w:jc w:val="both"/>
        <w:rPr>
          <w:rFonts w:ascii="Arial" w:hAnsi="Arial" w:cs="Arial"/>
          <w:szCs w:val="24"/>
        </w:rPr>
      </w:pPr>
      <w:r w:rsidRPr="006F0014">
        <w:rPr>
          <w:rFonts w:ascii="Arial" w:hAnsi="Arial" w:cs="Arial"/>
          <w:szCs w:val="24"/>
        </w:rPr>
        <w:t xml:space="preserve">FAÇO SABER </w:t>
      </w:r>
      <w:r w:rsidRPr="006F0014">
        <w:rPr>
          <w:rFonts w:ascii="Arial" w:hAnsi="Arial" w:cs="Arial"/>
          <w:b w:val="0"/>
          <w:i w:val="0"/>
          <w:szCs w:val="24"/>
        </w:rPr>
        <w:t>que o Poder Legislativo aprovou e eu sanciono e promulgo a seguinte Lei:</w:t>
      </w:r>
    </w:p>
    <w:p w14:paraId="3BE39EB5" w14:textId="77777777" w:rsidR="006F0014" w:rsidRPr="006F0014" w:rsidRDefault="006F0014" w:rsidP="006F0014">
      <w:pPr>
        <w:spacing w:before="240" w:after="240" w:line="276" w:lineRule="auto"/>
        <w:ind w:firstLine="1134"/>
        <w:jc w:val="both"/>
        <w:rPr>
          <w:rFonts w:ascii="Arial" w:hAnsi="Arial" w:cs="Arial"/>
          <w:b w:val="0"/>
          <w:i w:val="0"/>
          <w:szCs w:val="24"/>
        </w:rPr>
      </w:pPr>
      <w:r w:rsidRPr="006F0014">
        <w:rPr>
          <w:rFonts w:ascii="Arial" w:hAnsi="Arial" w:cs="Arial"/>
          <w:i w:val="0"/>
          <w:szCs w:val="24"/>
        </w:rPr>
        <w:t>Art. 1º</w:t>
      </w:r>
      <w:r w:rsidRPr="006F0014">
        <w:rPr>
          <w:rFonts w:ascii="Arial" w:hAnsi="Arial" w:cs="Arial"/>
          <w:b w:val="0"/>
          <w:i w:val="0"/>
          <w:szCs w:val="24"/>
        </w:rPr>
        <w:t xml:space="preserve"> Ficam alteradas as taxas previstas no item 4.1 e respectivos subitens da Tabela 7 da Lei Municipal nº 1.858, de 19 de dezembro de 1997 (Código Tributário Municipal), que passam a vigorar com a seguinte redação:</w:t>
      </w:r>
    </w:p>
    <w:tbl>
      <w:tblPr>
        <w:tblStyle w:val="Tabelacomgrade"/>
        <w:tblW w:w="0" w:type="auto"/>
        <w:tblLook w:val="04A0" w:firstRow="1" w:lastRow="0" w:firstColumn="1" w:lastColumn="0" w:noHBand="0" w:noVBand="1"/>
      </w:tblPr>
      <w:tblGrid>
        <w:gridCol w:w="4530"/>
        <w:gridCol w:w="4531"/>
      </w:tblGrid>
      <w:tr w:rsidR="006F0014" w:rsidRPr="00022657" w14:paraId="759DE38D" w14:textId="77777777" w:rsidTr="00996200">
        <w:tc>
          <w:tcPr>
            <w:tcW w:w="4530" w:type="dxa"/>
          </w:tcPr>
          <w:p w14:paraId="264C51A8" w14:textId="77777777" w:rsidR="006F0014" w:rsidRPr="00022657" w:rsidRDefault="006F0014" w:rsidP="00996200">
            <w:pPr>
              <w:pStyle w:val="Default"/>
              <w:spacing w:after="120" w:line="276" w:lineRule="auto"/>
              <w:jc w:val="center"/>
              <w:rPr>
                <w:b/>
                <w:color w:val="auto"/>
                <w:sz w:val="20"/>
                <w:szCs w:val="20"/>
              </w:rPr>
            </w:pPr>
            <w:r w:rsidRPr="00022657">
              <w:rPr>
                <w:b/>
                <w:color w:val="auto"/>
                <w:sz w:val="20"/>
                <w:szCs w:val="20"/>
              </w:rPr>
              <w:t>DISCRIMINAÇÃO</w:t>
            </w:r>
          </w:p>
        </w:tc>
        <w:tc>
          <w:tcPr>
            <w:tcW w:w="4531" w:type="dxa"/>
          </w:tcPr>
          <w:p w14:paraId="58E573F2" w14:textId="77777777" w:rsidR="006F0014" w:rsidRPr="007B3C8B" w:rsidRDefault="006F0014" w:rsidP="00996200">
            <w:pPr>
              <w:pStyle w:val="Default"/>
              <w:spacing w:after="120" w:line="276" w:lineRule="auto"/>
              <w:jc w:val="center"/>
              <w:rPr>
                <w:b/>
                <w:color w:val="auto"/>
                <w:sz w:val="20"/>
                <w:szCs w:val="20"/>
              </w:rPr>
            </w:pPr>
            <w:r w:rsidRPr="007B3C8B">
              <w:rPr>
                <w:b/>
                <w:color w:val="auto"/>
                <w:sz w:val="20"/>
                <w:szCs w:val="20"/>
              </w:rPr>
              <w:t>VALOR</w:t>
            </w:r>
          </w:p>
        </w:tc>
      </w:tr>
      <w:tr w:rsidR="006F0014" w:rsidRPr="00022657" w14:paraId="5F4D37DD" w14:textId="77777777" w:rsidTr="00996200">
        <w:tc>
          <w:tcPr>
            <w:tcW w:w="4530" w:type="dxa"/>
          </w:tcPr>
          <w:p w14:paraId="452F93DB" w14:textId="77777777" w:rsidR="006F0014" w:rsidRPr="00022657" w:rsidRDefault="006F0014" w:rsidP="00996200">
            <w:pPr>
              <w:pStyle w:val="Default"/>
              <w:spacing w:after="120" w:line="276" w:lineRule="auto"/>
              <w:jc w:val="center"/>
              <w:rPr>
                <w:bCs/>
                <w:color w:val="auto"/>
                <w:sz w:val="20"/>
                <w:szCs w:val="20"/>
              </w:rPr>
            </w:pPr>
            <w:r w:rsidRPr="00022657">
              <w:rPr>
                <w:bCs/>
                <w:color w:val="auto"/>
                <w:sz w:val="20"/>
                <w:szCs w:val="20"/>
              </w:rPr>
              <w:t>[...]</w:t>
            </w:r>
          </w:p>
        </w:tc>
        <w:tc>
          <w:tcPr>
            <w:tcW w:w="4531" w:type="dxa"/>
          </w:tcPr>
          <w:p w14:paraId="4D48074F" w14:textId="77777777" w:rsidR="006F0014" w:rsidRPr="00022657" w:rsidRDefault="006F0014" w:rsidP="00996200">
            <w:pPr>
              <w:pStyle w:val="Default"/>
              <w:spacing w:after="120" w:line="276" w:lineRule="auto"/>
              <w:jc w:val="center"/>
              <w:rPr>
                <w:bCs/>
                <w:color w:val="auto"/>
                <w:sz w:val="20"/>
                <w:szCs w:val="20"/>
              </w:rPr>
            </w:pPr>
            <w:r w:rsidRPr="00022657">
              <w:rPr>
                <w:bCs/>
                <w:color w:val="auto"/>
                <w:sz w:val="20"/>
                <w:szCs w:val="20"/>
              </w:rPr>
              <w:t>[...]</w:t>
            </w:r>
          </w:p>
        </w:tc>
      </w:tr>
      <w:tr w:rsidR="006F0014" w:rsidRPr="00022657" w14:paraId="7255DB5B" w14:textId="77777777" w:rsidTr="00996200">
        <w:tc>
          <w:tcPr>
            <w:tcW w:w="4530" w:type="dxa"/>
          </w:tcPr>
          <w:p w14:paraId="30651525" w14:textId="77777777" w:rsidR="006F0014" w:rsidRPr="00022657" w:rsidRDefault="006F0014" w:rsidP="00996200">
            <w:pPr>
              <w:pStyle w:val="Default"/>
              <w:spacing w:after="120" w:line="276" w:lineRule="auto"/>
              <w:jc w:val="both"/>
              <w:rPr>
                <w:bCs/>
                <w:color w:val="auto"/>
                <w:sz w:val="20"/>
                <w:szCs w:val="20"/>
              </w:rPr>
            </w:pPr>
            <w:r w:rsidRPr="00022657">
              <w:rPr>
                <w:bCs/>
                <w:color w:val="auto"/>
                <w:sz w:val="20"/>
                <w:szCs w:val="20"/>
              </w:rPr>
              <w:t>IV - TAXAS DE SERVIÇOS URBANOS</w:t>
            </w:r>
          </w:p>
        </w:tc>
        <w:tc>
          <w:tcPr>
            <w:tcW w:w="4531" w:type="dxa"/>
          </w:tcPr>
          <w:p w14:paraId="30E8E996" w14:textId="77777777" w:rsidR="006F0014" w:rsidRPr="00022657" w:rsidRDefault="006F0014" w:rsidP="00996200">
            <w:pPr>
              <w:pStyle w:val="Default"/>
              <w:spacing w:after="120" w:line="276" w:lineRule="auto"/>
              <w:jc w:val="right"/>
              <w:rPr>
                <w:bCs/>
                <w:color w:val="auto"/>
                <w:sz w:val="20"/>
                <w:szCs w:val="20"/>
              </w:rPr>
            </w:pPr>
          </w:p>
        </w:tc>
      </w:tr>
      <w:tr w:rsidR="006F0014" w:rsidRPr="00022657" w14:paraId="127CF0E6" w14:textId="77777777" w:rsidTr="00996200">
        <w:tc>
          <w:tcPr>
            <w:tcW w:w="4530" w:type="dxa"/>
          </w:tcPr>
          <w:p w14:paraId="62CD3748" w14:textId="77777777" w:rsidR="006F0014" w:rsidRPr="00022657" w:rsidRDefault="006F0014" w:rsidP="00996200">
            <w:pPr>
              <w:pStyle w:val="Default"/>
              <w:spacing w:after="120" w:line="276" w:lineRule="auto"/>
              <w:jc w:val="both"/>
              <w:rPr>
                <w:bCs/>
                <w:color w:val="auto"/>
                <w:sz w:val="20"/>
                <w:szCs w:val="20"/>
              </w:rPr>
            </w:pPr>
            <w:r w:rsidRPr="00022657">
              <w:rPr>
                <w:bCs/>
                <w:color w:val="auto"/>
                <w:sz w:val="20"/>
                <w:szCs w:val="20"/>
              </w:rPr>
              <w:t>4.1 - Coleta de lixo:</w:t>
            </w:r>
          </w:p>
        </w:tc>
        <w:tc>
          <w:tcPr>
            <w:tcW w:w="4531" w:type="dxa"/>
          </w:tcPr>
          <w:p w14:paraId="75CE9D7E" w14:textId="77777777" w:rsidR="006F0014" w:rsidRPr="00022657" w:rsidRDefault="006F0014" w:rsidP="00996200">
            <w:pPr>
              <w:pStyle w:val="Default"/>
              <w:spacing w:after="120" w:line="276" w:lineRule="auto"/>
              <w:jc w:val="right"/>
              <w:rPr>
                <w:bCs/>
                <w:color w:val="auto"/>
                <w:sz w:val="20"/>
                <w:szCs w:val="20"/>
              </w:rPr>
            </w:pPr>
          </w:p>
        </w:tc>
      </w:tr>
      <w:tr w:rsidR="006F0014" w:rsidRPr="00022657" w14:paraId="0F58B649" w14:textId="77777777" w:rsidTr="00996200">
        <w:tc>
          <w:tcPr>
            <w:tcW w:w="4530" w:type="dxa"/>
          </w:tcPr>
          <w:p w14:paraId="5E32606C" w14:textId="77777777" w:rsidR="006F0014" w:rsidRPr="00022657" w:rsidRDefault="006F0014" w:rsidP="00996200">
            <w:pPr>
              <w:pStyle w:val="Default"/>
              <w:spacing w:after="120" w:line="276" w:lineRule="auto"/>
              <w:jc w:val="both"/>
              <w:rPr>
                <w:bCs/>
                <w:color w:val="auto"/>
                <w:sz w:val="20"/>
                <w:szCs w:val="20"/>
              </w:rPr>
            </w:pPr>
            <w:r w:rsidRPr="00022657">
              <w:rPr>
                <w:bCs/>
                <w:color w:val="auto"/>
                <w:sz w:val="20"/>
                <w:szCs w:val="20"/>
              </w:rPr>
              <w:t>4.1.1 - Residencial, no ano</w:t>
            </w:r>
          </w:p>
        </w:tc>
        <w:tc>
          <w:tcPr>
            <w:tcW w:w="4531" w:type="dxa"/>
          </w:tcPr>
          <w:p w14:paraId="4DAA0A44" w14:textId="77777777" w:rsidR="006F0014" w:rsidRPr="00022657" w:rsidRDefault="006F0014" w:rsidP="00996200">
            <w:pPr>
              <w:pStyle w:val="Default"/>
              <w:spacing w:after="120" w:line="276" w:lineRule="auto"/>
              <w:jc w:val="right"/>
              <w:rPr>
                <w:bCs/>
                <w:color w:val="auto"/>
                <w:sz w:val="20"/>
                <w:szCs w:val="20"/>
              </w:rPr>
            </w:pPr>
            <w:r>
              <w:rPr>
                <w:bCs/>
                <w:color w:val="auto"/>
                <w:sz w:val="20"/>
                <w:szCs w:val="20"/>
              </w:rPr>
              <w:t>132 URM</w:t>
            </w:r>
          </w:p>
        </w:tc>
      </w:tr>
      <w:tr w:rsidR="006F0014" w:rsidRPr="00022657" w14:paraId="5106ECAD" w14:textId="77777777" w:rsidTr="00996200">
        <w:tc>
          <w:tcPr>
            <w:tcW w:w="4530" w:type="dxa"/>
          </w:tcPr>
          <w:p w14:paraId="5955D15B" w14:textId="77777777" w:rsidR="006F0014" w:rsidRPr="00022657" w:rsidRDefault="006F0014" w:rsidP="00996200">
            <w:pPr>
              <w:pStyle w:val="Default"/>
              <w:spacing w:after="120" w:line="276" w:lineRule="auto"/>
              <w:jc w:val="both"/>
              <w:rPr>
                <w:bCs/>
                <w:color w:val="auto"/>
                <w:sz w:val="20"/>
                <w:szCs w:val="20"/>
              </w:rPr>
            </w:pPr>
            <w:r w:rsidRPr="00022657">
              <w:rPr>
                <w:bCs/>
                <w:color w:val="auto"/>
                <w:sz w:val="20"/>
                <w:szCs w:val="20"/>
              </w:rPr>
              <w:t>4.1.2 - Comercial, no ano</w:t>
            </w:r>
          </w:p>
        </w:tc>
        <w:tc>
          <w:tcPr>
            <w:tcW w:w="4531" w:type="dxa"/>
          </w:tcPr>
          <w:p w14:paraId="4C4D6ACC" w14:textId="77777777" w:rsidR="006F0014" w:rsidRPr="00022657" w:rsidRDefault="006F0014" w:rsidP="00996200">
            <w:pPr>
              <w:pStyle w:val="Default"/>
              <w:spacing w:after="120" w:line="276" w:lineRule="auto"/>
              <w:jc w:val="right"/>
              <w:rPr>
                <w:bCs/>
                <w:color w:val="auto"/>
                <w:sz w:val="20"/>
                <w:szCs w:val="20"/>
              </w:rPr>
            </w:pPr>
            <w:r>
              <w:rPr>
                <w:bCs/>
                <w:color w:val="auto"/>
                <w:sz w:val="20"/>
                <w:szCs w:val="20"/>
              </w:rPr>
              <w:t>165 URM</w:t>
            </w:r>
          </w:p>
        </w:tc>
      </w:tr>
      <w:tr w:rsidR="006F0014" w:rsidRPr="00022657" w14:paraId="206D65E7" w14:textId="77777777" w:rsidTr="00996200">
        <w:tc>
          <w:tcPr>
            <w:tcW w:w="4530" w:type="dxa"/>
          </w:tcPr>
          <w:p w14:paraId="11B27727" w14:textId="77777777" w:rsidR="006F0014" w:rsidRPr="00022657" w:rsidRDefault="006F0014" w:rsidP="00996200">
            <w:pPr>
              <w:pStyle w:val="Default"/>
              <w:spacing w:after="120" w:line="276" w:lineRule="auto"/>
              <w:jc w:val="both"/>
              <w:rPr>
                <w:bCs/>
                <w:color w:val="auto"/>
                <w:sz w:val="20"/>
                <w:szCs w:val="20"/>
              </w:rPr>
            </w:pPr>
            <w:r w:rsidRPr="00022657">
              <w:rPr>
                <w:bCs/>
                <w:color w:val="auto"/>
                <w:sz w:val="20"/>
                <w:szCs w:val="20"/>
              </w:rPr>
              <w:t>4.1.3 - Industrial, no ano</w:t>
            </w:r>
          </w:p>
        </w:tc>
        <w:tc>
          <w:tcPr>
            <w:tcW w:w="4531" w:type="dxa"/>
          </w:tcPr>
          <w:p w14:paraId="0691BF88" w14:textId="77777777" w:rsidR="006F0014" w:rsidRPr="00022657" w:rsidRDefault="006F0014" w:rsidP="00996200">
            <w:pPr>
              <w:pStyle w:val="Default"/>
              <w:spacing w:after="120" w:line="276" w:lineRule="auto"/>
              <w:jc w:val="right"/>
              <w:rPr>
                <w:bCs/>
                <w:color w:val="auto"/>
                <w:sz w:val="20"/>
                <w:szCs w:val="20"/>
              </w:rPr>
            </w:pPr>
            <w:r>
              <w:rPr>
                <w:bCs/>
                <w:color w:val="auto"/>
                <w:sz w:val="20"/>
                <w:szCs w:val="20"/>
              </w:rPr>
              <w:t>198 URM</w:t>
            </w:r>
          </w:p>
        </w:tc>
      </w:tr>
      <w:tr w:rsidR="006F0014" w:rsidRPr="00022657" w14:paraId="4DB3F25A" w14:textId="77777777" w:rsidTr="00996200">
        <w:tc>
          <w:tcPr>
            <w:tcW w:w="4530" w:type="dxa"/>
          </w:tcPr>
          <w:p w14:paraId="1FEB09D0" w14:textId="77777777" w:rsidR="006F0014" w:rsidRPr="00022657" w:rsidRDefault="006F0014" w:rsidP="00996200">
            <w:pPr>
              <w:pStyle w:val="Default"/>
              <w:spacing w:after="120" w:line="276" w:lineRule="auto"/>
              <w:jc w:val="both"/>
              <w:rPr>
                <w:bCs/>
                <w:color w:val="auto"/>
                <w:sz w:val="20"/>
                <w:szCs w:val="20"/>
              </w:rPr>
            </w:pPr>
            <w:r w:rsidRPr="00022657">
              <w:rPr>
                <w:bCs/>
                <w:color w:val="auto"/>
                <w:sz w:val="20"/>
                <w:szCs w:val="20"/>
              </w:rPr>
              <w:t>4.1.4 - Ocupação mista, no ano</w:t>
            </w:r>
          </w:p>
        </w:tc>
        <w:tc>
          <w:tcPr>
            <w:tcW w:w="4531" w:type="dxa"/>
          </w:tcPr>
          <w:p w14:paraId="16E44190" w14:textId="77777777" w:rsidR="006F0014" w:rsidRPr="00022657" w:rsidRDefault="006F0014" w:rsidP="00996200">
            <w:pPr>
              <w:pStyle w:val="Default"/>
              <w:spacing w:after="120" w:line="276" w:lineRule="auto"/>
              <w:jc w:val="right"/>
              <w:rPr>
                <w:bCs/>
                <w:color w:val="auto"/>
                <w:sz w:val="20"/>
                <w:szCs w:val="20"/>
              </w:rPr>
            </w:pPr>
            <w:r>
              <w:rPr>
                <w:bCs/>
                <w:color w:val="auto"/>
                <w:sz w:val="20"/>
                <w:szCs w:val="20"/>
              </w:rPr>
              <w:t>145 URM</w:t>
            </w:r>
          </w:p>
        </w:tc>
      </w:tr>
      <w:tr w:rsidR="006F0014" w:rsidRPr="00022657" w14:paraId="44E1383F" w14:textId="77777777" w:rsidTr="00996200">
        <w:tc>
          <w:tcPr>
            <w:tcW w:w="4530" w:type="dxa"/>
          </w:tcPr>
          <w:p w14:paraId="0B6533A6" w14:textId="77777777" w:rsidR="006F0014" w:rsidRPr="00022657" w:rsidRDefault="006F0014" w:rsidP="00996200">
            <w:pPr>
              <w:pStyle w:val="Default"/>
              <w:spacing w:after="120" w:line="276" w:lineRule="auto"/>
              <w:jc w:val="both"/>
              <w:rPr>
                <w:bCs/>
                <w:color w:val="auto"/>
                <w:sz w:val="20"/>
                <w:szCs w:val="20"/>
              </w:rPr>
            </w:pPr>
            <w:r w:rsidRPr="00022657">
              <w:rPr>
                <w:bCs/>
                <w:color w:val="auto"/>
                <w:sz w:val="20"/>
                <w:szCs w:val="20"/>
              </w:rPr>
              <w:t>4.1.5 - Remoção especial de lixo, de terrenos baldios cuja limpeza tiver de ser efetuada pela Prefeitura por motivos de asseio ou estética urbana, e, de detritos ou animais mortos, cobrado   do   proprietário ou do interessado:</w:t>
            </w:r>
          </w:p>
        </w:tc>
        <w:tc>
          <w:tcPr>
            <w:tcW w:w="4531" w:type="dxa"/>
          </w:tcPr>
          <w:p w14:paraId="447B2FAF" w14:textId="77777777" w:rsidR="006F0014" w:rsidRPr="00022657" w:rsidRDefault="006F0014" w:rsidP="00996200">
            <w:pPr>
              <w:pStyle w:val="Default"/>
              <w:spacing w:after="120" w:line="276" w:lineRule="auto"/>
              <w:jc w:val="right"/>
              <w:rPr>
                <w:bCs/>
                <w:color w:val="auto"/>
                <w:sz w:val="20"/>
                <w:szCs w:val="20"/>
              </w:rPr>
            </w:pPr>
          </w:p>
        </w:tc>
      </w:tr>
      <w:tr w:rsidR="006F0014" w:rsidRPr="00022657" w14:paraId="46E65BEE" w14:textId="77777777" w:rsidTr="00996200">
        <w:tc>
          <w:tcPr>
            <w:tcW w:w="4530" w:type="dxa"/>
          </w:tcPr>
          <w:p w14:paraId="0F37A367" w14:textId="77777777" w:rsidR="006F0014" w:rsidRPr="00022657" w:rsidRDefault="006F0014" w:rsidP="00996200">
            <w:pPr>
              <w:pStyle w:val="Default"/>
              <w:spacing w:after="120" w:line="276" w:lineRule="auto"/>
              <w:jc w:val="both"/>
              <w:rPr>
                <w:bCs/>
                <w:color w:val="auto"/>
                <w:sz w:val="20"/>
                <w:szCs w:val="20"/>
              </w:rPr>
            </w:pPr>
            <w:r w:rsidRPr="00022657">
              <w:rPr>
                <w:bCs/>
                <w:color w:val="auto"/>
                <w:sz w:val="20"/>
                <w:szCs w:val="20"/>
              </w:rPr>
              <w:t>4.1.5.1 - por carga e por viagem até 300 quilos</w:t>
            </w:r>
          </w:p>
        </w:tc>
        <w:tc>
          <w:tcPr>
            <w:tcW w:w="4531" w:type="dxa"/>
          </w:tcPr>
          <w:p w14:paraId="64846A14" w14:textId="77777777" w:rsidR="006F0014" w:rsidRPr="00022657" w:rsidRDefault="006F0014" w:rsidP="00996200">
            <w:pPr>
              <w:pStyle w:val="Default"/>
              <w:spacing w:after="120" w:line="276" w:lineRule="auto"/>
              <w:jc w:val="right"/>
              <w:rPr>
                <w:bCs/>
                <w:color w:val="auto"/>
                <w:sz w:val="20"/>
                <w:szCs w:val="20"/>
              </w:rPr>
            </w:pPr>
            <w:r>
              <w:rPr>
                <w:bCs/>
                <w:color w:val="auto"/>
                <w:sz w:val="20"/>
                <w:szCs w:val="20"/>
              </w:rPr>
              <w:t>66 URM</w:t>
            </w:r>
          </w:p>
        </w:tc>
      </w:tr>
      <w:tr w:rsidR="006F0014" w:rsidRPr="00022657" w14:paraId="2F628D5C" w14:textId="77777777" w:rsidTr="00996200">
        <w:tc>
          <w:tcPr>
            <w:tcW w:w="4530" w:type="dxa"/>
          </w:tcPr>
          <w:p w14:paraId="0E618B10" w14:textId="77777777" w:rsidR="006F0014" w:rsidRPr="00022657" w:rsidRDefault="006F0014" w:rsidP="00996200">
            <w:pPr>
              <w:pStyle w:val="Default"/>
              <w:spacing w:after="120" w:line="276" w:lineRule="auto"/>
              <w:jc w:val="both"/>
              <w:rPr>
                <w:bCs/>
                <w:color w:val="auto"/>
                <w:sz w:val="20"/>
                <w:szCs w:val="20"/>
              </w:rPr>
            </w:pPr>
            <w:r w:rsidRPr="00022657">
              <w:rPr>
                <w:bCs/>
                <w:color w:val="auto"/>
                <w:sz w:val="20"/>
                <w:szCs w:val="20"/>
              </w:rPr>
              <w:t>4.1.5.2 - por carga e por viagem acima de 300 quilos</w:t>
            </w:r>
          </w:p>
        </w:tc>
        <w:tc>
          <w:tcPr>
            <w:tcW w:w="4531" w:type="dxa"/>
          </w:tcPr>
          <w:p w14:paraId="4F2090DF" w14:textId="77777777" w:rsidR="006F0014" w:rsidRPr="00022657" w:rsidRDefault="006F0014" w:rsidP="00996200">
            <w:pPr>
              <w:pStyle w:val="Default"/>
              <w:spacing w:after="120" w:line="276" w:lineRule="auto"/>
              <w:jc w:val="right"/>
              <w:rPr>
                <w:bCs/>
                <w:color w:val="auto"/>
                <w:sz w:val="20"/>
                <w:szCs w:val="20"/>
              </w:rPr>
            </w:pPr>
            <w:r>
              <w:rPr>
                <w:bCs/>
                <w:color w:val="auto"/>
                <w:sz w:val="20"/>
                <w:szCs w:val="20"/>
              </w:rPr>
              <w:t>132 URM</w:t>
            </w:r>
          </w:p>
        </w:tc>
      </w:tr>
      <w:tr w:rsidR="006F0014" w:rsidRPr="00022657" w14:paraId="65431FA7" w14:textId="77777777" w:rsidTr="00996200">
        <w:tc>
          <w:tcPr>
            <w:tcW w:w="4530" w:type="dxa"/>
          </w:tcPr>
          <w:p w14:paraId="72D5CDCC" w14:textId="77777777" w:rsidR="006F0014" w:rsidRPr="00022657" w:rsidRDefault="006F0014" w:rsidP="00996200">
            <w:pPr>
              <w:pStyle w:val="Default"/>
              <w:spacing w:after="120" w:line="276" w:lineRule="auto"/>
              <w:jc w:val="center"/>
              <w:rPr>
                <w:bCs/>
                <w:color w:val="auto"/>
                <w:sz w:val="20"/>
                <w:szCs w:val="20"/>
              </w:rPr>
            </w:pPr>
            <w:r w:rsidRPr="00022657">
              <w:rPr>
                <w:bCs/>
                <w:color w:val="auto"/>
                <w:sz w:val="20"/>
                <w:szCs w:val="20"/>
              </w:rPr>
              <w:t>[...]</w:t>
            </w:r>
          </w:p>
        </w:tc>
        <w:tc>
          <w:tcPr>
            <w:tcW w:w="4531" w:type="dxa"/>
          </w:tcPr>
          <w:p w14:paraId="0F4500FA" w14:textId="77777777" w:rsidR="006F0014" w:rsidRPr="00022657" w:rsidRDefault="006F0014" w:rsidP="00996200">
            <w:pPr>
              <w:pStyle w:val="Default"/>
              <w:spacing w:after="120" w:line="276" w:lineRule="auto"/>
              <w:jc w:val="center"/>
              <w:rPr>
                <w:bCs/>
                <w:color w:val="auto"/>
                <w:sz w:val="20"/>
                <w:szCs w:val="20"/>
              </w:rPr>
            </w:pPr>
            <w:r w:rsidRPr="00022657">
              <w:rPr>
                <w:bCs/>
                <w:color w:val="auto"/>
                <w:sz w:val="20"/>
                <w:szCs w:val="20"/>
              </w:rPr>
              <w:t>[...]</w:t>
            </w:r>
          </w:p>
        </w:tc>
      </w:tr>
    </w:tbl>
    <w:p w14:paraId="4D702212" w14:textId="77777777" w:rsidR="006F0014" w:rsidRPr="003413FD" w:rsidRDefault="006F0014" w:rsidP="006F0014">
      <w:pPr>
        <w:spacing w:before="240" w:after="240" w:line="276" w:lineRule="auto"/>
        <w:ind w:firstLine="1134"/>
        <w:jc w:val="both"/>
        <w:rPr>
          <w:rFonts w:ascii="Arial" w:hAnsi="Arial" w:cs="Arial"/>
          <w:b w:val="0"/>
          <w:i w:val="0"/>
          <w:sz w:val="20"/>
        </w:rPr>
      </w:pPr>
      <w:r w:rsidRPr="006F0014">
        <w:rPr>
          <w:rFonts w:ascii="Arial" w:hAnsi="Arial" w:cs="Arial"/>
          <w:bCs/>
          <w:i w:val="0"/>
          <w:szCs w:val="24"/>
        </w:rPr>
        <w:t>Art. 2º</w:t>
      </w:r>
      <w:r w:rsidRPr="006F0014">
        <w:rPr>
          <w:rFonts w:ascii="Arial" w:hAnsi="Arial" w:cs="Arial"/>
          <w:b w:val="0"/>
          <w:i w:val="0"/>
          <w:szCs w:val="24"/>
        </w:rPr>
        <w:t xml:space="preserve"> Esta Lei entra em vigor na data de sua publicação, produzindo efeitos após 90 (noventa) dias, nos termos do art. 150, III, ‘c’, da Constituição Federal</w:t>
      </w:r>
      <w:r>
        <w:rPr>
          <w:rFonts w:ascii="Arial" w:hAnsi="Arial" w:cs="Arial"/>
          <w:b w:val="0"/>
          <w:i w:val="0"/>
          <w:sz w:val="20"/>
        </w:rPr>
        <w:t>.</w:t>
      </w:r>
    </w:p>
    <w:p w14:paraId="5C524676" w14:textId="25B8654D" w:rsidR="00B57F22" w:rsidRPr="00206ED6" w:rsidRDefault="00B57F22" w:rsidP="00B57F22">
      <w:pPr>
        <w:tabs>
          <w:tab w:val="left" w:pos="426"/>
        </w:tabs>
        <w:spacing w:line="360" w:lineRule="auto"/>
        <w:ind w:left="-426" w:right="-285"/>
        <w:jc w:val="center"/>
        <w:rPr>
          <w:rFonts w:ascii="Arial" w:hAnsi="Arial" w:cs="Arial"/>
          <w:b w:val="0"/>
          <w:i w:val="0"/>
          <w:szCs w:val="24"/>
        </w:rPr>
      </w:pPr>
      <w:bookmarkStart w:id="1" w:name="_Hlk187925085"/>
      <w:bookmarkStart w:id="2" w:name="_Hlk206571360"/>
      <w:bookmarkEnd w:id="0"/>
      <w:r w:rsidRPr="00206ED6">
        <w:rPr>
          <w:rFonts w:ascii="Arial" w:hAnsi="Arial" w:cs="Arial"/>
          <w:b w:val="0"/>
          <w:i w:val="0"/>
          <w:szCs w:val="24"/>
        </w:rPr>
        <w:t xml:space="preserve">Gabinete do Presidente Câmara Municipal de Bom Retiro do Sul, </w:t>
      </w:r>
      <w:r w:rsidR="009D43F0">
        <w:rPr>
          <w:rFonts w:ascii="Arial" w:hAnsi="Arial" w:cs="Arial"/>
          <w:b w:val="0"/>
          <w:i w:val="0"/>
          <w:szCs w:val="24"/>
        </w:rPr>
        <w:t>15</w:t>
      </w:r>
      <w:r w:rsidRPr="00206ED6">
        <w:rPr>
          <w:rFonts w:ascii="Arial" w:hAnsi="Arial" w:cs="Arial"/>
          <w:b w:val="0"/>
          <w:i w:val="0"/>
          <w:szCs w:val="24"/>
        </w:rPr>
        <w:t xml:space="preserve"> de </w:t>
      </w:r>
      <w:r w:rsidR="00452C24">
        <w:rPr>
          <w:rFonts w:ascii="Arial" w:hAnsi="Arial" w:cs="Arial"/>
          <w:b w:val="0"/>
          <w:i w:val="0"/>
          <w:szCs w:val="24"/>
        </w:rPr>
        <w:t>outubro</w:t>
      </w:r>
      <w:r w:rsidRPr="00206ED6">
        <w:rPr>
          <w:rFonts w:ascii="Arial" w:hAnsi="Arial" w:cs="Arial"/>
          <w:b w:val="0"/>
          <w:i w:val="0"/>
          <w:szCs w:val="24"/>
        </w:rPr>
        <w:t xml:space="preserve"> de 202</w:t>
      </w:r>
      <w:r w:rsidR="00536891">
        <w:rPr>
          <w:rFonts w:ascii="Arial" w:hAnsi="Arial" w:cs="Arial"/>
          <w:b w:val="0"/>
          <w:i w:val="0"/>
          <w:szCs w:val="24"/>
        </w:rPr>
        <w:t>5</w:t>
      </w:r>
      <w:r w:rsidRPr="00206ED6">
        <w:rPr>
          <w:rFonts w:ascii="Arial" w:hAnsi="Arial" w:cs="Arial"/>
          <w:b w:val="0"/>
          <w:i w:val="0"/>
          <w:szCs w:val="24"/>
        </w:rPr>
        <w:t>.</w:t>
      </w:r>
    </w:p>
    <w:p w14:paraId="24D98CEA" w14:textId="77777777" w:rsidR="00D579E5" w:rsidRDefault="00D579E5" w:rsidP="00B57F22">
      <w:pPr>
        <w:tabs>
          <w:tab w:val="left" w:pos="426"/>
        </w:tabs>
        <w:spacing w:line="360" w:lineRule="auto"/>
        <w:ind w:left="-1418" w:right="-568"/>
        <w:jc w:val="center"/>
        <w:rPr>
          <w:rFonts w:ascii="Arial" w:hAnsi="Arial" w:cs="Arial"/>
          <w:b w:val="0"/>
          <w:i w:val="0"/>
          <w:szCs w:val="24"/>
        </w:rPr>
      </w:pPr>
    </w:p>
    <w:p w14:paraId="1E9BB6A0" w14:textId="77777777" w:rsidR="006F0014" w:rsidRDefault="006F0014" w:rsidP="00625F30">
      <w:pPr>
        <w:ind w:left="-1" w:firstLine="1417"/>
        <w:rPr>
          <w:rFonts w:ascii="Arial" w:hAnsi="Arial" w:cs="Arial"/>
          <w:b w:val="0"/>
          <w:i w:val="0"/>
          <w:noProof/>
          <w:sz w:val="18"/>
          <w:szCs w:val="18"/>
        </w:rPr>
      </w:pPr>
    </w:p>
    <w:p w14:paraId="2430F540" w14:textId="6D34D351" w:rsidR="00B57F22" w:rsidRPr="00CC2703" w:rsidRDefault="00625F30" w:rsidP="00625F30">
      <w:pPr>
        <w:ind w:left="-1" w:firstLine="1417"/>
        <w:rPr>
          <w:rFonts w:ascii="Arial" w:hAnsi="Arial" w:cs="Arial"/>
          <w:b w:val="0"/>
          <w:i w:val="0"/>
          <w:noProof/>
          <w:sz w:val="18"/>
          <w:szCs w:val="18"/>
        </w:rPr>
      </w:pPr>
      <w:r>
        <w:rPr>
          <w:rFonts w:ascii="Arial" w:hAnsi="Arial" w:cs="Arial"/>
          <w:b w:val="0"/>
          <w:i w:val="0"/>
          <w:noProof/>
          <w:sz w:val="18"/>
          <w:szCs w:val="18"/>
        </w:rPr>
        <w:t xml:space="preserve">     </w:t>
      </w:r>
      <w:r w:rsidR="00BC2631">
        <w:rPr>
          <w:rFonts w:ascii="Arial" w:hAnsi="Arial" w:cs="Arial"/>
          <w:b w:val="0"/>
          <w:i w:val="0"/>
          <w:noProof/>
          <w:sz w:val="18"/>
          <w:szCs w:val="18"/>
        </w:rPr>
        <w:t>Presidente</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Pr>
          <w:rFonts w:ascii="Arial" w:hAnsi="Arial" w:cs="Arial"/>
          <w:b w:val="0"/>
          <w:i w:val="0"/>
          <w:noProof/>
          <w:sz w:val="18"/>
          <w:szCs w:val="18"/>
        </w:rPr>
        <w:tab/>
        <w:t xml:space="preserve">                            </w:t>
      </w:r>
      <w:r w:rsidR="00B57F22" w:rsidRPr="00CC2703">
        <w:rPr>
          <w:rFonts w:ascii="Arial" w:hAnsi="Arial" w:cs="Arial"/>
          <w:b w:val="0"/>
          <w:i w:val="0"/>
          <w:noProof/>
          <w:sz w:val="18"/>
          <w:szCs w:val="18"/>
        </w:rPr>
        <w:t>Diretor</w:t>
      </w:r>
    </w:p>
    <w:p w14:paraId="053D57A5" w14:textId="77777777"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617FEC2A" w14:textId="2AEBCC4B" w:rsidR="00E05690"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1"/>
      <w:bookmarkEnd w:id="2"/>
    </w:p>
    <w:sectPr w:rsidR="00E05690" w:rsidSect="0091716C">
      <w:headerReference w:type="default" r:id="rId8"/>
      <w:footerReference w:type="default" r:id="rId9"/>
      <w:pgSz w:w="11906" w:h="16838"/>
      <w:pgMar w:top="1701" w:right="1134" w:bottom="0" w:left="1418"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0EC6" w14:textId="77777777" w:rsidR="00490D0A" w:rsidRDefault="00490D0A" w:rsidP="00D9258E">
      <w:r>
        <w:separator/>
      </w:r>
    </w:p>
  </w:endnote>
  <w:endnote w:type="continuationSeparator" w:id="0">
    <w:p w14:paraId="7D3BEAA2" w14:textId="77777777" w:rsidR="00490D0A" w:rsidRDefault="00490D0A"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B39E" w14:textId="77777777" w:rsidR="00490D0A" w:rsidRDefault="00490D0A" w:rsidP="00D9258E">
      <w:r>
        <w:separator/>
      </w:r>
    </w:p>
  </w:footnote>
  <w:footnote w:type="continuationSeparator" w:id="0">
    <w:p w14:paraId="40FC4A98" w14:textId="77777777" w:rsidR="00490D0A" w:rsidRDefault="00490D0A"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bookmarkStart w:id="3" w:name="_Hlk206571232"/>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827713152" name="Imagem 82771315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21858881" name="Imagem 22185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bookmarkEnd w:id="3"/>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8D0544"/>
    <w:multiLevelType w:val="hybridMultilevel"/>
    <w:tmpl w:val="180E3110"/>
    <w:lvl w:ilvl="0" w:tplc="B71ADC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1"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2"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5"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1C98216D"/>
    <w:multiLevelType w:val="hybridMultilevel"/>
    <w:tmpl w:val="975C4BEE"/>
    <w:lvl w:ilvl="0" w:tplc="55A89EF2">
      <w:start w:val="1"/>
      <w:numFmt w:val="decimal"/>
      <w:lvlText w:val="%1-"/>
      <w:lvlJc w:val="left"/>
      <w:pPr>
        <w:ind w:left="644" w:hanging="360"/>
      </w:pPr>
      <w:rPr>
        <w:rFonts w:hint="default"/>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7"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8"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24C00F49"/>
    <w:multiLevelType w:val="hybridMultilevel"/>
    <w:tmpl w:val="12409B9A"/>
    <w:lvl w:ilvl="0" w:tplc="EA9AAAA4">
      <w:start w:val="1"/>
      <w:numFmt w:val="upperRoman"/>
      <w:lvlText w:val="%1"/>
      <w:lvlJc w:val="left"/>
      <w:pPr>
        <w:ind w:left="1258" w:hanging="122"/>
        <w:jc w:val="left"/>
      </w:pPr>
      <w:rPr>
        <w:rFonts w:ascii="Arial MT" w:eastAsia="Arial MT" w:hAnsi="Arial MT" w:cs="Arial MT" w:hint="default"/>
        <w:b w:val="0"/>
        <w:bCs w:val="0"/>
        <w:i w:val="0"/>
        <w:iCs w:val="0"/>
        <w:spacing w:val="0"/>
        <w:w w:val="100"/>
        <w:sz w:val="24"/>
        <w:szCs w:val="24"/>
        <w:lang w:val="pt-PT" w:eastAsia="en-US" w:bidi="ar-SA"/>
      </w:rPr>
    </w:lvl>
    <w:lvl w:ilvl="1" w:tplc="E7543A0A">
      <w:numFmt w:val="bullet"/>
      <w:lvlText w:val="•"/>
      <w:lvlJc w:val="left"/>
      <w:pPr>
        <w:ind w:left="2055" w:hanging="122"/>
      </w:pPr>
      <w:rPr>
        <w:rFonts w:hint="default"/>
        <w:lang w:val="pt-PT" w:eastAsia="en-US" w:bidi="ar-SA"/>
      </w:rPr>
    </w:lvl>
    <w:lvl w:ilvl="2" w:tplc="1696E432">
      <w:numFmt w:val="bullet"/>
      <w:lvlText w:val="•"/>
      <w:lvlJc w:val="left"/>
      <w:pPr>
        <w:ind w:left="2850" w:hanging="122"/>
      </w:pPr>
      <w:rPr>
        <w:rFonts w:hint="default"/>
        <w:lang w:val="pt-PT" w:eastAsia="en-US" w:bidi="ar-SA"/>
      </w:rPr>
    </w:lvl>
    <w:lvl w:ilvl="3" w:tplc="F67205FE">
      <w:numFmt w:val="bullet"/>
      <w:lvlText w:val="•"/>
      <w:lvlJc w:val="left"/>
      <w:pPr>
        <w:ind w:left="3646" w:hanging="122"/>
      </w:pPr>
      <w:rPr>
        <w:rFonts w:hint="default"/>
        <w:lang w:val="pt-PT" w:eastAsia="en-US" w:bidi="ar-SA"/>
      </w:rPr>
    </w:lvl>
    <w:lvl w:ilvl="4" w:tplc="1CD0BE50">
      <w:numFmt w:val="bullet"/>
      <w:lvlText w:val="•"/>
      <w:lvlJc w:val="left"/>
      <w:pPr>
        <w:ind w:left="4441" w:hanging="122"/>
      </w:pPr>
      <w:rPr>
        <w:rFonts w:hint="default"/>
        <w:lang w:val="pt-PT" w:eastAsia="en-US" w:bidi="ar-SA"/>
      </w:rPr>
    </w:lvl>
    <w:lvl w:ilvl="5" w:tplc="AA5E6EC6">
      <w:numFmt w:val="bullet"/>
      <w:lvlText w:val="•"/>
      <w:lvlJc w:val="left"/>
      <w:pPr>
        <w:ind w:left="5237" w:hanging="122"/>
      </w:pPr>
      <w:rPr>
        <w:rFonts w:hint="default"/>
        <w:lang w:val="pt-PT" w:eastAsia="en-US" w:bidi="ar-SA"/>
      </w:rPr>
    </w:lvl>
    <w:lvl w:ilvl="6" w:tplc="4300A2EA">
      <w:numFmt w:val="bullet"/>
      <w:lvlText w:val="•"/>
      <w:lvlJc w:val="left"/>
      <w:pPr>
        <w:ind w:left="6032" w:hanging="122"/>
      </w:pPr>
      <w:rPr>
        <w:rFonts w:hint="default"/>
        <w:lang w:val="pt-PT" w:eastAsia="en-US" w:bidi="ar-SA"/>
      </w:rPr>
    </w:lvl>
    <w:lvl w:ilvl="7" w:tplc="7ACEBC8E">
      <w:numFmt w:val="bullet"/>
      <w:lvlText w:val="•"/>
      <w:lvlJc w:val="left"/>
      <w:pPr>
        <w:ind w:left="6827" w:hanging="122"/>
      </w:pPr>
      <w:rPr>
        <w:rFonts w:hint="default"/>
        <w:lang w:val="pt-PT" w:eastAsia="en-US" w:bidi="ar-SA"/>
      </w:rPr>
    </w:lvl>
    <w:lvl w:ilvl="8" w:tplc="4900F9B6">
      <w:numFmt w:val="bullet"/>
      <w:lvlText w:val="•"/>
      <w:lvlJc w:val="left"/>
      <w:pPr>
        <w:ind w:left="7623" w:hanging="122"/>
      </w:pPr>
      <w:rPr>
        <w:rFonts w:hint="default"/>
        <w:lang w:val="pt-PT" w:eastAsia="en-US" w:bidi="ar-SA"/>
      </w:rPr>
    </w:lvl>
  </w:abstractNum>
  <w:abstractNum w:abstractNumId="20" w15:restartNumberingAfterBreak="0">
    <w:nsid w:val="255430D8"/>
    <w:multiLevelType w:val="hybridMultilevel"/>
    <w:tmpl w:val="FCEEE696"/>
    <w:lvl w:ilvl="0" w:tplc="CFD25010">
      <w:start w:val="1"/>
      <w:numFmt w:val="decimal"/>
      <w:lvlText w:val="%1-"/>
      <w:lvlJc w:val="left"/>
      <w:pPr>
        <w:ind w:left="463" w:hanging="360"/>
      </w:pPr>
      <w:rPr>
        <w:rFonts w:hint="default"/>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21" w15:restartNumberingAfterBreak="0">
    <w:nsid w:val="25B67E58"/>
    <w:multiLevelType w:val="hybridMultilevel"/>
    <w:tmpl w:val="62D88032"/>
    <w:lvl w:ilvl="0" w:tplc="6212C1E0">
      <w:start w:val="1"/>
      <w:numFmt w:val="decimal"/>
      <w:lvlText w:val="%1."/>
      <w:lvlJc w:val="left"/>
      <w:pPr>
        <w:ind w:left="763" w:hanging="360"/>
      </w:pPr>
      <w:rPr>
        <w:rFonts w:hint="default"/>
      </w:r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2"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3" w15:restartNumberingAfterBreak="0">
    <w:nsid w:val="29F54BB1"/>
    <w:multiLevelType w:val="hybridMultilevel"/>
    <w:tmpl w:val="0D92F2B0"/>
    <w:lvl w:ilvl="0" w:tplc="8ED4F5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25"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15:restartNumberingAfterBreak="0">
    <w:nsid w:val="2E535A68"/>
    <w:multiLevelType w:val="hybridMultilevel"/>
    <w:tmpl w:val="149AAA02"/>
    <w:lvl w:ilvl="0" w:tplc="1FF66CAA">
      <w:start w:val="1"/>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27"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39F371F5"/>
    <w:multiLevelType w:val="hybridMultilevel"/>
    <w:tmpl w:val="07E66E62"/>
    <w:lvl w:ilvl="0" w:tplc="D67018A0">
      <w:start w:val="1"/>
      <w:numFmt w:val="decimal"/>
      <w:lvlText w:val="%1."/>
      <w:lvlJc w:val="left"/>
      <w:pPr>
        <w:ind w:left="1080" w:hanging="360"/>
      </w:pPr>
      <w:rPr>
        <w:rFonts w:eastAsia="Calibri"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3FBD6FDA"/>
    <w:multiLevelType w:val="hybridMultilevel"/>
    <w:tmpl w:val="17BE1C58"/>
    <w:lvl w:ilvl="0" w:tplc="A8E4D6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34"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15:restartNumberingAfterBreak="0">
    <w:nsid w:val="519F1722"/>
    <w:multiLevelType w:val="hybridMultilevel"/>
    <w:tmpl w:val="8FB6AF04"/>
    <w:lvl w:ilvl="0" w:tplc="B0AE863A">
      <w:start w:val="1"/>
      <w:numFmt w:val="lowerLetter"/>
      <w:lvlText w:val="%1)"/>
      <w:lvlJc w:val="left"/>
      <w:pPr>
        <w:ind w:left="1065" w:hanging="360"/>
      </w:pPr>
      <w:rPr>
        <w:b w:val="0"/>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7" w15:restartNumberingAfterBreak="0">
    <w:nsid w:val="58EE7CEB"/>
    <w:multiLevelType w:val="hybridMultilevel"/>
    <w:tmpl w:val="804C7068"/>
    <w:lvl w:ilvl="0" w:tplc="22E617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1"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4"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7" w15:restartNumberingAfterBreak="0">
    <w:nsid w:val="7D3666B4"/>
    <w:multiLevelType w:val="hybridMultilevel"/>
    <w:tmpl w:val="745A0230"/>
    <w:lvl w:ilvl="0" w:tplc="A3CAEBE6">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8"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7"/>
  </w:num>
  <w:num w:numId="2" w16cid:durableId="1715080887">
    <w:abstractNumId w:val="22"/>
  </w:num>
  <w:num w:numId="3" w16cid:durableId="927929890">
    <w:abstractNumId w:val="28"/>
  </w:num>
  <w:num w:numId="4" w16cid:durableId="923494702">
    <w:abstractNumId w:val="3"/>
  </w:num>
  <w:num w:numId="5" w16cid:durableId="2006544995">
    <w:abstractNumId w:val="46"/>
  </w:num>
  <w:num w:numId="6" w16cid:durableId="1157261883">
    <w:abstractNumId w:val="15"/>
  </w:num>
  <w:num w:numId="7" w16cid:durableId="1931111072">
    <w:abstractNumId w:val="25"/>
  </w:num>
  <w:num w:numId="8" w16cid:durableId="1359694290">
    <w:abstractNumId w:val="18"/>
  </w:num>
  <w:num w:numId="9" w16cid:durableId="1509636840">
    <w:abstractNumId w:val="35"/>
  </w:num>
  <w:num w:numId="10" w16cid:durableId="1014235550">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43"/>
  </w:num>
  <w:num w:numId="12" w16cid:durableId="896210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38"/>
  </w:num>
  <w:num w:numId="16" w16cid:durableId="18700233">
    <w:abstractNumId w:val="5"/>
  </w:num>
  <w:num w:numId="17" w16cid:durableId="855264263">
    <w:abstractNumId w:val="31"/>
  </w:num>
  <w:num w:numId="18" w16cid:durableId="1225682500">
    <w:abstractNumId w:val="44"/>
  </w:num>
  <w:num w:numId="19" w16cid:durableId="2143689142">
    <w:abstractNumId w:val="42"/>
  </w:num>
  <w:num w:numId="20" w16cid:durableId="472454900">
    <w:abstractNumId w:val="12"/>
  </w:num>
  <w:num w:numId="21" w16cid:durableId="1381975199">
    <w:abstractNumId w:val="6"/>
  </w:num>
  <w:num w:numId="22" w16cid:durableId="140662750">
    <w:abstractNumId w:val="34"/>
  </w:num>
  <w:num w:numId="23" w16cid:durableId="275602920">
    <w:abstractNumId w:val="0"/>
  </w:num>
  <w:num w:numId="24" w16cid:durableId="859197818">
    <w:abstractNumId w:val="4"/>
  </w:num>
  <w:num w:numId="25" w16cid:durableId="1035690669">
    <w:abstractNumId w:val="48"/>
  </w:num>
  <w:num w:numId="26" w16cid:durableId="488905028">
    <w:abstractNumId w:val="45"/>
  </w:num>
  <w:num w:numId="27" w16cid:durableId="1642079775">
    <w:abstractNumId w:val="39"/>
  </w:num>
  <w:num w:numId="28" w16cid:durableId="1226720008">
    <w:abstractNumId w:val="1"/>
  </w:num>
  <w:num w:numId="29" w16cid:durableId="237522825">
    <w:abstractNumId w:val="13"/>
  </w:num>
  <w:num w:numId="30" w16cid:durableId="321813422">
    <w:abstractNumId w:val="49"/>
  </w:num>
  <w:num w:numId="31" w16cid:durableId="7022586">
    <w:abstractNumId w:val="7"/>
  </w:num>
  <w:num w:numId="32" w16cid:durableId="1126003717">
    <w:abstractNumId w:val="40"/>
  </w:num>
  <w:num w:numId="33" w16cid:durableId="8891970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33"/>
  </w:num>
  <w:num w:numId="36" w16cid:durableId="2107261779">
    <w:abstractNumId w:val="27"/>
  </w:num>
  <w:num w:numId="37" w16cid:durableId="779572366">
    <w:abstractNumId w:val="2"/>
  </w:num>
  <w:num w:numId="38" w16cid:durableId="535237955">
    <w:abstractNumId w:val="24"/>
  </w:num>
  <w:num w:numId="39" w16cid:durableId="2104644574">
    <w:abstractNumId w:val="19"/>
  </w:num>
  <w:num w:numId="40" w16cid:durableId="1280181391">
    <w:abstractNumId w:val="37"/>
  </w:num>
  <w:num w:numId="41" w16cid:durableId="2072384996">
    <w:abstractNumId w:val="30"/>
  </w:num>
  <w:num w:numId="42" w16cid:durableId="778180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0371520">
    <w:abstractNumId w:val="16"/>
  </w:num>
  <w:num w:numId="44" w16cid:durableId="2079202672">
    <w:abstractNumId w:val="21"/>
  </w:num>
  <w:num w:numId="45" w16cid:durableId="1366636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0686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4838876">
    <w:abstractNumId w:val="26"/>
  </w:num>
  <w:num w:numId="48" w16cid:durableId="192228757">
    <w:abstractNumId w:val="8"/>
  </w:num>
  <w:num w:numId="49" w16cid:durableId="1542278992">
    <w:abstractNumId w:val="20"/>
  </w:num>
  <w:num w:numId="50" w16cid:durableId="1880780483">
    <w:abstractNumId w:val="32"/>
  </w:num>
  <w:num w:numId="51" w16cid:durableId="290356870">
    <w:abstractNumId w:val="47"/>
  </w:num>
  <w:num w:numId="52" w16cid:durableId="588276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5BC6"/>
    <w:rsid w:val="00006C3A"/>
    <w:rsid w:val="00007624"/>
    <w:rsid w:val="00013960"/>
    <w:rsid w:val="000206BB"/>
    <w:rsid w:val="00024CF6"/>
    <w:rsid w:val="00025FF4"/>
    <w:rsid w:val="00026F8E"/>
    <w:rsid w:val="0002703B"/>
    <w:rsid w:val="0003411F"/>
    <w:rsid w:val="000437D6"/>
    <w:rsid w:val="00045043"/>
    <w:rsid w:val="00047ED4"/>
    <w:rsid w:val="00050F45"/>
    <w:rsid w:val="00051316"/>
    <w:rsid w:val="000630F0"/>
    <w:rsid w:val="000632EF"/>
    <w:rsid w:val="00063A1B"/>
    <w:rsid w:val="00064325"/>
    <w:rsid w:val="00064879"/>
    <w:rsid w:val="00067DE6"/>
    <w:rsid w:val="00072C35"/>
    <w:rsid w:val="00075D3D"/>
    <w:rsid w:val="00076EEA"/>
    <w:rsid w:val="00077069"/>
    <w:rsid w:val="00080748"/>
    <w:rsid w:val="000816E7"/>
    <w:rsid w:val="00091970"/>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C4541"/>
    <w:rsid w:val="000C4D9C"/>
    <w:rsid w:val="000D26B7"/>
    <w:rsid w:val="000D2B75"/>
    <w:rsid w:val="000D56E8"/>
    <w:rsid w:val="000D756D"/>
    <w:rsid w:val="000E043E"/>
    <w:rsid w:val="000E0B07"/>
    <w:rsid w:val="000F2771"/>
    <w:rsid w:val="000F452D"/>
    <w:rsid w:val="001010ED"/>
    <w:rsid w:val="00101DED"/>
    <w:rsid w:val="00103301"/>
    <w:rsid w:val="001112D5"/>
    <w:rsid w:val="00114358"/>
    <w:rsid w:val="00117FDE"/>
    <w:rsid w:val="00121A34"/>
    <w:rsid w:val="00122995"/>
    <w:rsid w:val="00131034"/>
    <w:rsid w:val="001333FE"/>
    <w:rsid w:val="00137CD7"/>
    <w:rsid w:val="00143D08"/>
    <w:rsid w:val="0014446E"/>
    <w:rsid w:val="001464C5"/>
    <w:rsid w:val="00146CF2"/>
    <w:rsid w:val="00147B2A"/>
    <w:rsid w:val="00157C95"/>
    <w:rsid w:val="0016135C"/>
    <w:rsid w:val="00163981"/>
    <w:rsid w:val="00163CB5"/>
    <w:rsid w:val="0017105A"/>
    <w:rsid w:val="00174449"/>
    <w:rsid w:val="00174AC6"/>
    <w:rsid w:val="00181224"/>
    <w:rsid w:val="00182168"/>
    <w:rsid w:val="001846CB"/>
    <w:rsid w:val="001852F2"/>
    <w:rsid w:val="001A6865"/>
    <w:rsid w:val="001B02E4"/>
    <w:rsid w:val="001B4FE2"/>
    <w:rsid w:val="001C0101"/>
    <w:rsid w:val="001C45E4"/>
    <w:rsid w:val="001C501A"/>
    <w:rsid w:val="001C5347"/>
    <w:rsid w:val="001D680B"/>
    <w:rsid w:val="001F3B4E"/>
    <w:rsid w:val="001F4A8F"/>
    <w:rsid w:val="00206ED6"/>
    <w:rsid w:val="00212E28"/>
    <w:rsid w:val="00224E66"/>
    <w:rsid w:val="00227BBB"/>
    <w:rsid w:val="00230AF4"/>
    <w:rsid w:val="00231252"/>
    <w:rsid w:val="00241280"/>
    <w:rsid w:val="00241405"/>
    <w:rsid w:val="00241C5A"/>
    <w:rsid w:val="00243690"/>
    <w:rsid w:val="00256D90"/>
    <w:rsid w:val="00257854"/>
    <w:rsid w:val="002579A8"/>
    <w:rsid w:val="00260993"/>
    <w:rsid w:val="00260F7A"/>
    <w:rsid w:val="00263B7B"/>
    <w:rsid w:val="002641A9"/>
    <w:rsid w:val="002660C3"/>
    <w:rsid w:val="002661B3"/>
    <w:rsid w:val="00266BD4"/>
    <w:rsid w:val="00284C9F"/>
    <w:rsid w:val="00287B3C"/>
    <w:rsid w:val="00287F14"/>
    <w:rsid w:val="00297541"/>
    <w:rsid w:val="002A0ADC"/>
    <w:rsid w:val="002A266F"/>
    <w:rsid w:val="002A6BC6"/>
    <w:rsid w:val="002B267F"/>
    <w:rsid w:val="002B5634"/>
    <w:rsid w:val="002B6DBF"/>
    <w:rsid w:val="002B6F52"/>
    <w:rsid w:val="002C2BD7"/>
    <w:rsid w:val="002C31A3"/>
    <w:rsid w:val="002C5AAB"/>
    <w:rsid w:val="002D0CBF"/>
    <w:rsid w:val="002D3D3B"/>
    <w:rsid w:val="002D5A07"/>
    <w:rsid w:val="002E119C"/>
    <w:rsid w:val="002E1A16"/>
    <w:rsid w:val="002E39C6"/>
    <w:rsid w:val="002E6F78"/>
    <w:rsid w:val="002F40AB"/>
    <w:rsid w:val="002F41FE"/>
    <w:rsid w:val="002F4727"/>
    <w:rsid w:val="00301741"/>
    <w:rsid w:val="00301D2E"/>
    <w:rsid w:val="0030293B"/>
    <w:rsid w:val="00304520"/>
    <w:rsid w:val="0030531E"/>
    <w:rsid w:val="003118B5"/>
    <w:rsid w:val="00317826"/>
    <w:rsid w:val="00320C86"/>
    <w:rsid w:val="0032146D"/>
    <w:rsid w:val="00325968"/>
    <w:rsid w:val="00325F85"/>
    <w:rsid w:val="003263A2"/>
    <w:rsid w:val="00331D22"/>
    <w:rsid w:val="0033290A"/>
    <w:rsid w:val="00335755"/>
    <w:rsid w:val="003371B4"/>
    <w:rsid w:val="00337A37"/>
    <w:rsid w:val="00340670"/>
    <w:rsid w:val="00342339"/>
    <w:rsid w:val="003431A8"/>
    <w:rsid w:val="00344556"/>
    <w:rsid w:val="00357CF6"/>
    <w:rsid w:val="00361D2D"/>
    <w:rsid w:val="00362F8C"/>
    <w:rsid w:val="00364441"/>
    <w:rsid w:val="003801F6"/>
    <w:rsid w:val="003840DB"/>
    <w:rsid w:val="00390702"/>
    <w:rsid w:val="003922FA"/>
    <w:rsid w:val="00393CB8"/>
    <w:rsid w:val="003A1643"/>
    <w:rsid w:val="003A1665"/>
    <w:rsid w:val="003A4D38"/>
    <w:rsid w:val="003A6E7F"/>
    <w:rsid w:val="003B294C"/>
    <w:rsid w:val="003B3727"/>
    <w:rsid w:val="003B70FD"/>
    <w:rsid w:val="003C5131"/>
    <w:rsid w:val="003C7BDA"/>
    <w:rsid w:val="003D0988"/>
    <w:rsid w:val="003E5141"/>
    <w:rsid w:val="003E5448"/>
    <w:rsid w:val="003E6475"/>
    <w:rsid w:val="003E73E8"/>
    <w:rsid w:val="003F4300"/>
    <w:rsid w:val="004005FA"/>
    <w:rsid w:val="00400EC7"/>
    <w:rsid w:val="00402448"/>
    <w:rsid w:val="00405178"/>
    <w:rsid w:val="00405BBA"/>
    <w:rsid w:val="004070F6"/>
    <w:rsid w:val="00407540"/>
    <w:rsid w:val="00416996"/>
    <w:rsid w:val="00421136"/>
    <w:rsid w:val="00424E15"/>
    <w:rsid w:val="00425FEA"/>
    <w:rsid w:val="00426206"/>
    <w:rsid w:val="0042621C"/>
    <w:rsid w:val="0043456F"/>
    <w:rsid w:val="00437EB8"/>
    <w:rsid w:val="004403C8"/>
    <w:rsid w:val="004429B4"/>
    <w:rsid w:val="00443AA1"/>
    <w:rsid w:val="00446FBF"/>
    <w:rsid w:val="00452C24"/>
    <w:rsid w:val="004549F1"/>
    <w:rsid w:val="00460555"/>
    <w:rsid w:val="004605A9"/>
    <w:rsid w:val="0046464A"/>
    <w:rsid w:val="00471189"/>
    <w:rsid w:val="004730EF"/>
    <w:rsid w:val="0047317A"/>
    <w:rsid w:val="00474CD8"/>
    <w:rsid w:val="00475C57"/>
    <w:rsid w:val="00477093"/>
    <w:rsid w:val="0047789F"/>
    <w:rsid w:val="00480D04"/>
    <w:rsid w:val="0048372B"/>
    <w:rsid w:val="00485D7E"/>
    <w:rsid w:val="00490D0A"/>
    <w:rsid w:val="00490E9C"/>
    <w:rsid w:val="004A2AA0"/>
    <w:rsid w:val="004A2BB0"/>
    <w:rsid w:val="004A3BE6"/>
    <w:rsid w:val="004A446F"/>
    <w:rsid w:val="004B2A45"/>
    <w:rsid w:val="004B4BF7"/>
    <w:rsid w:val="004C1934"/>
    <w:rsid w:val="004C352D"/>
    <w:rsid w:val="004D0E1A"/>
    <w:rsid w:val="004D292C"/>
    <w:rsid w:val="004D29B2"/>
    <w:rsid w:val="004E473E"/>
    <w:rsid w:val="004E54E7"/>
    <w:rsid w:val="004E64B0"/>
    <w:rsid w:val="004F5EE0"/>
    <w:rsid w:val="0050681D"/>
    <w:rsid w:val="00511E8C"/>
    <w:rsid w:val="00513054"/>
    <w:rsid w:val="00515442"/>
    <w:rsid w:val="005160C7"/>
    <w:rsid w:val="005168A7"/>
    <w:rsid w:val="00517BFA"/>
    <w:rsid w:val="00520174"/>
    <w:rsid w:val="005213A7"/>
    <w:rsid w:val="00524012"/>
    <w:rsid w:val="00530671"/>
    <w:rsid w:val="00536891"/>
    <w:rsid w:val="0054317D"/>
    <w:rsid w:val="00543695"/>
    <w:rsid w:val="005456C5"/>
    <w:rsid w:val="005519D8"/>
    <w:rsid w:val="00556A67"/>
    <w:rsid w:val="00563E50"/>
    <w:rsid w:val="005645E8"/>
    <w:rsid w:val="00571917"/>
    <w:rsid w:val="00574A42"/>
    <w:rsid w:val="00583956"/>
    <w:rsid w:val="00584BD4"/>
    <w:rsid w:val="00585112"/>
    <w:rsid w:val="005901DA"/>
    <w:rsid w:val="005939F9"/>
    <w:rsid w:val="00595BFA"/>
    <w:rsid w:val="005A29F7"/>
    <w:rsid w:val="005A7901"/>
    <w:rsid w:val="005A79D8"/>
    <w:rsid w:val="005B1F19"/>
    <w:rsid w:val="005B2629"/>
    <w:rsid w:val="005B3098"/>
    <w:rsid w:val="005D4F82"/>
    <w:rsid w:val="005E3285"/>
    <w:rsid w:val="005E394C"/>
    <w:rsid w:val="005F1543"/>
    <w:rsid w:val="005F72C2"/>
    <w:rsid w:val="005F758D"/>
    <w:rsid w:val="005F7FD4"/>
    <w:rsid w:val="00604038"/>
    <w:rsid w:val="00605A26"/>
    <w:rsid w:val="006069CE"/>
    <w:rsid w:val="006160C8"/>
    <w:rsid w:val="00625F30"/>
    <w:rsid w:val="00626A51"/>
    <w:rsid w:val="00627AEC"/>
    <w:rsid w:val="006314EF"/>
    <w:rsid w:val="00642CF7"/>
    <w:rsid w:val="00644719"/>
    <w:rsid w:val="00652552"/>
    <w:rsid w:val="00653004"/>
    <w:rsid w:val="00660355"/>
    <w:rsid w:val="0066058F"/>
    <w:rsid w:val="00662F52"/>
    <w:rsid w:val="006637B4"/>
    <w:rsid w:val="006679D7"/>
    <w:rsid w:val="00667CDE"/>
    <w:rsid w:val="00670D30"/>
    <w:rsid w:val="00680246"/>
    <w:rsid w:val="00680E86"/>
    <w:rsid w:val="006821E6"/>
    <w:rsid w:val="00683F06"/>
    <w:rsid w:val="00694856"/>
    <w:rsid w:val="00695B8D"/>
    <w:rsid w:val="006A04EF"/>
    <w:rsid w:val="006A1FCC"/>
    <w:rsid w:val="006A5CB2"/>
    <w:rsid w:val="006A7FAF"/>
    <w:rsid w:val="006B492A"/>
    <w:rsid w:val="006C5AB6"/>
    <w:rsid w:val="006D0172"/>
    <w:rsid w:val="006D438E"/>
    <w:rsid w:val="006D6FB0"/>
    <w:rsid w:val="006E1420"/>
    <w:rsid w:val="006E1D9A"/>
    <w:rsid w:val="006E38CE"/>
    <w:rsid w:val="006F0014"/>
    <w:rsid w:val="006F7AD6"/>
    <w:rsid w:val="00700937"/>
    <w:rsid w:val="00700C71"/>
    <w:rsid w:val="00701DA6"/>
    <w:rsid w:val="00713457"/>
    <w:rsid w:val="00714544"/>
    <w:rsid w:val="0071642D"/>
    <w:rsid w:val="00716B14"/>
    <w:rsid w:val="0071713E"/>
    <w:rsid w:val="00717C34"/>
    <w:rsid w:val="007225DF"/>
    <w:rsid w:val="007300B2"/>
    <w:rsid w:val="00731ABE"/>
    <w:rsid w:val="00734006"/>
    <w:rsid w:val="00736295"/>
    <w:rsid w:val="00741FED"/>
    <w:rsid w:val="007424BD"/>
    <w:rsid w:val="0074411F"/>
    <w:rsid w:val="00744B1C"/>
    <w:rsid w:val="00746487"/>
    <w:rsid w:val="00746699"/>
    <w:rsid w:val="00750F3D"/>
    <w:rsid w:val="00763A91"/>
    <w:rsid w:val="00766CF3"/>
    <w:rsid w:val="00766F6A"/>
    <w:rsid w:val="00771E8F"/>
    <w:rsid w:val="007731A4"/>
    <w:rsid w:val="00774CB0"/>
    <w:rsid w:val="00777941"/>
    <w:rsid w:val="00777F91"/>
    <w:rsid w:val="007832CC"/>
    <w:rsid w:val="0078467B"/>
    <w:rsid w:val="0079615E"/>
    <w:rsid w:val="007A11D7"/>
    <w:rsid w:val="007A1D7F"/>
    <w:rsid w:val="007B35CA"/>
    <w:rsid w:val="007B72AE"/>
    <w:rsid w:val="007B7F1D"/>
    <w:rsid w:val="007C6B71"/>
    <w:rsid w:val="007C6D94"/>
    <w:rsid w:val="007C798A"/>
    <w:rsid w:val="007D0E07"/>
    <w:rsid w:val="007D23BC"/>
    <w:rsid w:val="007E1549"/>
    <w:rsid w:val="007F5E54"/>
    <w:rsid w:val="007F6A8D"/>
    <w:rsid w:val="008009FB"/>
    <w:rsid w:val="008010D7"/>
    <w:rsid w:val="008032F3"/>
    <w:rsid w:val="00803B1B"/>
    <w:rsid w:val="008047C6"/>
    <w:rsid w:val="00810B5B"/>
    <w:rsid w:val="00812B08"/>
    <w:rsid w:val="0081509B"/>
    <w:rsid w:val="00816FB0"/>
    <w:rsid w:val="00820A35"/>
    <w:rsid w:val="00820AEE"/>
    <w:rsid w:val="0082277F"/>
    <w:rsid w:val="008241CD"/>
    <w:rsid w:val="00826C5C"/>
    <w:rsid w:val="00830954"/>
    <w:rsid w:val="008322B2"/>
    <w:rsid w:val="008372E2"/>
    <w:rsid w:val="00840494"/>
    <w:rsid w:val="00853DA0"/>
    <w:rsid w:val="00854249"/>
    <w:rsid w:val="00855265"/>
    <w:rsid w:val="00857CE7"/>
    <w:rsid w:val="00861E19"/>
    <w:rsid w:val="008655F2"/>
    <w:rsid w:val="0086627C"/>
    <w:rsid w:val="00873C8B"/>
    <w:rsid w:val="00873CB6"/>
    <w:rsid w:val="008752E3"/>
    <w:rsid w:val="008767C6"/>
    <w:rsid w:val="0087797C"/>
    <w:rsid w:val="00886C8B"/>
    <w:rsid w:val="008A298E"/>
    <w:rsid w:val="008A2A1B"/>
    <w:rsid w:val="008A40D9"/>
    <w:rsid w:val="008A7F56"/>
    <w:rsid w:val="008B2535"/>
    <w:rsid w:val="008B3E66"/>
    <w:rsid w:val="008B5B0E"/>
    <w:rsid w:val="008C3B1E"/>
    <w:rsid w:val="008C5532"/>
    <w:rsid w:val="008C5A65"/>
    <w:rsid w:val="008C5BDB"/>
    <w:rsid w:val="008D7652"/>
    <w:rsid w:val="008E0661"/>
    <w:rsid w:val="008E4DE9"/>
    <w:rsid w:val="008E4E8E"/>
    <w:rsid w:val="008E67B2"/>
    <w:rsid w:val="008F1893"/>
    <w:rsid w:val="008F3854"/>
    <w:rsid w:val="008F5F88"/>
    <w:rsid w:val="008F760A"/>
    <w:rsid w:val="00901D08"/>
    <w:rsid w:val="00901FD2"/>
    <w:rsid w:val="00905FD1"/>
    <w:rsid w:val="009158EE"/>
    <w:rsid w:val="0091684E"/>
    <w:rsid w:val="0091716C"/>
    <w:rsid w:val="00921693"/>
    <w:rsid w:val="00921FE0"/>
    <w:rsid w:val="00922710"/>
    <w:rsid w:val="00924CF1"/>
    <w:rsid w:val="009315F4"/>
    <w:rsid w:val="00932951"/>
    <w:rsid w:val="009365A0"/>
    <w:rsid w:val="00936830"/>
    <w:rsid w:val="00940615"/>
    <w:rsid w:val="009448B8"/>
    <w:rsid w:val="0094498C"/>
    <w:rsid w:val="00944CB5"/>
    <w:rsid w:val="00945673"/>
    <w:rsid w:val="00947DDF"/>
    <w:rsid w:val="00957ABE"/>
    <w:rsid w:val="0096062F"/>
    <w:rsid w:val="00961C3E"/>
    <w:rsid w:val="00973A35"/>
    <w:rsid w:val="00975A51"/>
    <w:rsid w:val="00976406"/>
    <w:rsid w:val="0098608B"/>
    <w:rsid w:val="00990E21"/>
    <w:rsid w:val="00997068"/>
    <w:rsid w:val="009A04BF"/>
    <w:rsid w:val="009A4A05"/>
    <w:rsid w:val="009A57C2"/>
    <w:rsid w:val="009B28D7"/>
    <w:rsid w:val="009B3730"/>
    <w:rsid w:val="009C75AB"/>
    <w:rsid w:val="009D09E3"/>
    <w:rsid w:val="009D2412"/>
    <w:rsid w:val="009D3B2D"/>
    <w:rsid w:val="009D43F0"/>
    <w:rsid w:val="009D6499"/>
    <w:rsid w:val="009E3271"/>
    <w:rsid w:val="009E5D36"/>
    <w:rsid w:val="009E728C"/>
    <w:rsid w:val="009F4CC0"/>
    <w:rsid w:val="00A004DC"/>
    <w:rsid w:val="00A02FBB"/>
    <w:rsid w:val="00A07950"/>
    <w:rsid w:val="00A114B6"/>
    <w:rsid w:val="00A13352"/>
    <w:rsid w:val="00A145E2"/>
    <w:rsid w:val="00A170C0"/>
    <w:rsid w:val="00A20E1C"/>
    <w:rsid w:val="00A24F41"/>
    <w:rsid w:val="00A278EA"/>
    <w:rsid w:val="00A30057"/>
    <w:rsid w:val="00A33D19"/>
    <w:rsid w:val="00A34DAE"/>
    <w:rsid w:val="00A3689B"/>
    <w:rsid w:val="00A42467"/>
    <w:rsid w:val="00A42EFC"/>
    <w:rsid w:val="00A4319E"/>
    <w:rsid w:val="00A438B8"/>
    <w:rsid w:val="00A46A7E"/>
    <w:rsid w:val="00A51088"/>
    <w:rsid w:val="00A513B6"/>
    <w:rsid w:val="00A516A9"/>
    <w:rsid w:val="00A51A8C"/>
    <w:rsid w:val="00A552CF"/>
    <w:rsid w:val="00A620E5"/>
    <w:rsid w:val="00A62675"/>
    <w:rsid w:val="00A643B6"/>
    <w:rsid w:val="00A700EB"/>
    <w:rsid w:val="00A74B91"/>
    <w:rsid w:val="00A74DD0"/>
    <w:rsid w:val="00A77C69"/>
    <w:rsid w:val="00A812F7"/>
    <w:rsid w:val="00A82C82"/>
    <w:rsid w:val="00AA222E"/>
    <w:rsid w:val="00AA251E"/>
    <w:rsid w:val="00AA26AD"/>
    <w:rsid w:val="00AA29A0"/>
    <w:rsid w:val="00AA7EA2"/>
    <w:rsid w:val="00AB0BE8"/>
    <w:rsid w:val="00AB18A8"/>
    <w:rsid w:val="00AB30F9"/>
    <w:rsid w:val="00AC390B"/>
    <w:rsid w:val="00AC4BAE"/>
    <w:rsid w:val="00AC6402"/>
    <w:rsid w:val="00AD09B2"/>
    <w:rsid w:val="00AD0AE5"/>
    <w:rsid w:val="00AD1A45"/>
    <w:rsid w:val="00AD5AEE"/>
    <w:rsid w:val="00AD612C"/>
    <w:rsid w:val="00AE0640"/>
    <w:rsid w:val="00AE5217"/>
    <w:rsid w:val="00AE6660"/>
    <w:rsid w:val="00AF2667"/>
    <w:rsid w:val="00AF378A"/>
    <w:rsid w:val="00AF7BA3"/>
    <w:rsid w:val="00B020DA"/>
    <w:rsid w:val="00B0261C"/>
    <w:rsid w:val="00B02777"/>
    <w:rsid w:val="00B11636"/>
    <w:rsid w:val="00B21029"/>
    <w:rsid w:val="00B2297C"/>
    <w:rsid w:val="00B23C2C"/>
    <w:rsid w:val="00B3089B"/>
    <w:rsid w:val="00B32E49"/>
    <w:rsid w:val="00B33D6B"/>
    <w:rsid w:val="00B3446D"/>
    <w:rsid w:val="00B42352"/>
    <w:rsid w:val="00B43E91"/>
    <w:rsid w:val="00B45617"/>
    <w:rsid w:val="00B460B7"/>
    <w:rsid w:val="00B478A1"/>
    <w:rsid w:val="00B51E66"/>
    <w:rsid w:val="00B52444"/>
    <w:rsid w:val="00B562B6"/>
    <w:rsid w:val="00B57F22"/>
    <w:rsid w:val="00B57F3F"/>
    <w:rsid w:val="00B64521"/>
    <w:rsid w:val="00B673EF"/>
    <w:rsid w:val="00B71203"/>
    <w:rsid w:val="00B74B19"/>
    <w:rsid w:val="00B74E42"/>
    <w:rsid w:val="00B87E8C"/>
    <w:rsid w:val="00B91F8B"/>
    <w:rsid w:val="00B9287D"/>
    <w:rsid w:val="00B937B2"/>
    <w:rsid w:val="00B95753"/>
    <w:rsid w:val="00B979C9"/>
    <w:rsid w:val="00B97B43"/>
    <w:rsid w:val="00BA04DC"/>
    <w:rsid w:val="00BA1FA0"/>
    <w:rsid w:val="00BA280E"/>
    <w:rsid w:val="00BA4B8A"/>
    <w:rsid w:val="00BA4F6B"/>
    <w:rsid w:val="00BA5ABB"/>
    <w:rsid w:val="00BA5EA9"/>
    <w:rsid w:val="00BB729A"/>
    <w:rsid w:val="00BC2631"/>
    <w:rsid w:val="00BC3024"/>
    <w:rsid w:val="00BC3054"/>
    <w:rsid w:val="00BC4433"/>
    <w:rsid w:val="00BC5173"/>
    <w:rsid w:val="00BC54ED"/>
    <w:rsid w:val="00BD098B"/>
    <w:rsid w:val="00BD4822"/>
    <w:rsid w:val="00BD50CA"/>
    <w:rsid w:val="00BE2A0A"/>
    <w:rsid w:val="00BE348C"/>
    <w:rsid w:val="00BE5CDA"/>
    <w:rsid w:val="00BE6439"/>
    <w:rsid w:val="00BF656A"/>
    <w:rsid w:val="00C013FD"/>
    <w:rsid w:val="00C027FD"/>
    <w:rsid w:val="00C07C74"/>
    <w:rsid w:val="00C12ACA"/>
    <w:rsid w:val="00C13E3E"/>
    <w:rsid w:val="00C14B3D"/>
    <w:rsid w:val="00C15654"/>
    <w:rsid w:val="00C15FAE"/>
    <w:rsid w:val="00C220A1"/>
    <w:rsid w:val="00C25450"/>
    <w:rsid w:val="00C33E9A"/>
    <w:rsid w:val="00C351D9"/>
    <w:rsid w:val="00C35FF7"/>
    <w:rsid w:val="00C36669"/>
    <w:rsid w:val="00C37412"/>
    <w:rsid w:val="00C374B7"/>
    <w:rsid w:val="00C378E2"/>
    <w:rsid w:val="00C4038A"/>
    <w:rsid w:val="00C41732"/>
    <w:rsid w:val="00C4493B"/>
    <w:rsid w:val="00C47F63"/>
    <w:rsid w:val="00C516D7"/>
    <w:rsid w:val="00C55950"/>
    <w:rsid w:val="00C568EC"/>
    <w:rsid w:val="00C57FD0"/>
    <w:rsid w:val="00C61EA2"/>
    <w:rsid w:val="00C67335"/>
    <w:rsid w:val="00C71829"/>
    <w:rsid w:val="00C71CE8"/>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90D"/>
    <w:rsid w:val="00D22E2B"/>
    <w:rsid w:val="00D23ADF"/>
    <w:rsid w:val="00D25680"/>
    <w:rsid w:val="00D3262A"/>
    <w:rsid w:val="00D35558"/>
    <w:rsid w:val="00D36BFA"/>
    <w:rsid w:val="00D41D1F"/>
    <w:rsid w:val="00D43D9E"/>
    <w:rsid w:val="00D545E4"/>
    <w:rsid w:val="00D54B6D"/>
    <w:rsid w:val="00D5557C"/>
    <w:rsid w:val="00D579E5"/>
    <w:rsid w:val="00D6125D"/>
    <w:rsid w:val="00D61E0A"/>
    <w:rsid w:val="00D9020A"/>
    <w:rsid w:val="00D9258E"/>
    <w:rsid w:val="00D97287"/>
    <w:rsid w:val="00DA18B9"/>
    <w:rsid w:val="00DA6980"/>
    <w:rsid w:val="00DA704B"/>
    <w:rsid w:val="00DA78C9"/>
    <w:rsid w:val="00DB602C"/>
    <w:rsid w:val="00DB6230"/>
    <w:rsid w:val="00DB64D2"/>
    <w:rsid w:val="00DC2790"/>
    <w:rsid w:val="00DC5643"/>
    <w:rsid w:val="00DC5B64"/>
    <w:rsid w:val="00DC77BB"/>
    <w:rsid w:val="00DD0E35"/>
    <w:rsid w:val="00DD2371"/>
    <w:rsid w:val="00DD5843"/>
    <w:rsid w:val="00DE0BFB"/>
    <w:rsid w:val="00DE1D92"/>
    <w:rsid w:val="00DE6171"/>
    <w:rsid w:val="00DF1616"/>
    <w:rsid w:val="00DF3745"/>
    <w:rsid w:val="00DF51CB"/>
    <w:rsid w:val="00E00A4D"/>
    <w:rsid w:val="00E01B1C"/>
    <w:rsid w:val="00E02569"/>
    <w:rsid w:val="00E03940"/>
    <w:rsid w:val="00E05690"/>
    <w:rsid w:val="00E068E4"/>
    <w:rsid w:val="00E0718F"/>
    <w:rsid w:val="00E105F1"/>
    <w:rsid w:val="00E147C4"/>
    <w:rsid w:val="00E21AB8"/>
    <w:rsid w:val="00E2795A"/>
    <w:rsid w:val="00E3164A"/>
    <w:rsid w:val="00E31C87"/>
    <w:rsid w:val="00E34818"/>
    <w:rsid w:val="00E364B6"/>
    <w:rsid w:val="00E40101"/>
    <w:rsid w:val="00E419F2"/>
    <w:rsid w:val="00E53492"/>
    <w:rsid w:val="00E6102C"/>
    <w:rsid w:val="00E61C94"/>
    <w:rsid w:val="00E6470C"/>
    <w:rsid w:val="00E669C2"/>
    <w:rsid w:val="00E77B00"/>
    <w:rsid w:val="00E80544"/>
    <w:rsid w:val="00E966A0"/>
    <w:rsid w:val="00EA2DC7"/>
    <w:rsid w:val="00EA6C3A"/>
    <w:rsid w:val="00EA7A1E"/>
    <w:rsid w:val="00EB3008"/>
    <w:rsid w:val="00EB43F0"/>
    <w:rsid w:val="00EB4E52"/>
    <w:rsid w:val="00EB642C"/>
    <w:rsid w:val="00EC0D65"/>
    <w:rsid w:val="00EC1831"/>
    <w:rsid w:val="00EC2871"/>
    <w:rsid w:val="00EC5BD8"/>
    <w:rsid w:val="00EC6A94"/>
    <w:rsid w:val="00ED0520"/>
    <w:rsid w:val="00ED0FA5"/>
    <w:rsid w:val="00EE5F8D"/>
    <w:rsid w:val="00EE6A81"/>
    <w:rsid w:val="00F010D6"/>
    <w:rsid w:val="00F01E5B"/>
    <w:rsid w:val="00F030D2"/>
    <w:rsid w:val="00F03208"/>
    <w:rsid w:val="00F10085"/>
    <w:rsid w:val="00F13485"/>
    <w:rsid w:val="00F20806"/>
    <w:rsid w:val="00F217C1"/>
    <w:rsid w:val="00F262BF"/>
    <w:rsid w:val="00F27313"/>
    <w:rsid w:val="00F465C4"/>
    <w:rsid w:val="00F52A7F"/>
    <w:rsid w:val="00F5342C"/>
    <w:rsid w:val="00F537DE"/>
    <w:rsid w:val="00F62BE9"/>
    <w:rsid w:val="00F6539E"/>
    <w:rsid w:val="00F71842"/>
    <w:rsid w:val="00F74878"/>
    <w:rsid w:val="00F7596F"/>
    <w:rsid w:val="00F80FF5"/>
    <w:rsid w:val="00F81DD4"/>
    <w:rsid w:val="00F85F47"/>
    <w:rsid w:val="00F90C49"/>
    <w:rsid w:val="00F94B64"/>
    <w:rsid w:val="00F95064"/>
    <w:rsid w:val="00F96878"/>
    <w:rsid w:val="00F96F0B"/>
    <w:rsid w:val="00F96F0E"/>
    <w:rsid w:val="00F97FD7"/>
    <w:rsid w:val="00FA0FF1"/>
    <w:rsid w:val="00FA5F19"/>
    <w:rsid w:val="00FA5F50"/>
    <w:rsid w:val="00FB12DD"/>
    <w:rsid w:val="00FB3851"/>
    <w:rsid w:val="00FB487B"/>
    <w:rsid w:val="00FC357A"/>
    <w:rsid w:val="00FC445F"/>
    <w:rsid w:val="00FE3836"/>
    <w:rsid w:val="00FF2915"/>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paragraph" w:styleId="Ttulo3">
    <w:name w:val="heading 3"/>
    <w:basedOn w:val="Normal"/>
    <w:next w:val="Normal"/>
    <w:link w:val="Ttulo3Char"/>
    <w:uiPriority w:val="9"/>
    <w:unhideWhenUsed/>
    <w:qFormat/>
    <w:rsid w:val="00A700EB"/>
    <w:pPr>
      <w:keepNext/>
      <w:keepLines/>
      <w:spacing w:before="40"/>
      <w:outlineLvl w:val="2"/>
    </w:pPr>
    <w:rPr>
      <w:rFonts w:asciiTheme="majorHAnsi" w:eastAsiaTheme="majorEastAsia" w:hAnsiTheme="majorHAnsi" w:cstheme="majorBidi"/>
      <w:b w:val="0"/>
      <w:i w:val="0"/>
      <w:color w:val="243F60" w:themeColor="accent1" w:themeShade="7F"/>
      <w:szCs w:val="24"/>
    </w:rPr>
  </w:style>
  <w:style w:type="paragraph" w:styleId="Ttulo4">
    <w:name w:val="heading 4"/>
    <w:basedOn w:val="Normal"/>
    <w:next w:val="Normal"/>
    <w:link w:val="Ttulo4Char"/>
    <w:uiPriority w:val="9"/>
    <w:semiHidden/>
    <w:unhideWhenUsed/>
    <w:qFormat/>
    <w:rsid w:val="00A700EB"/>
    <w:pPr>
      <w:keepNext/>
      <w:keepLines/>
      <w:spacing w:before="40"/>
      <w:outlineLvl w:val="3"/>
    </w:pPr>
    <w:rPr>
      <w:rFonts w:asciiTheme="majorHAnsi" w:eastAsiaTheme="majorEastAsia" w:hAnsiTheme="majorHAnsi" w:cstheme="majorBidi"/>
      <w:b w:val="0"/>
      <w:iCs/>
      <w:color w:val="365F91" w:themeColor="accent1" w:themeShade="B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A700E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A700EB"/>
    <w:rPr>
      <w:rFonts w:asciiTheme="majorHAnsi" w:eastAsiaTheme="majorEastAsia" w:hAnsiTheme="majorHAnsi" w:cstheme="majorBidi"/>
      <w:i/>
      <w:iCs/>
      <w:color w:val="365F91" w:themeColor="accent1" w:themeShade="BF"/>
      <w:sz w:val="24"/>
      <w:szCs w:val="24"/>
      <w:lang w:eastAsia="pt-BR"/>
    </w:rPr>
  </w:style>
  <w:style w:type="paragraph" w:customStyle="1" w:styleId="gmail-msonormal">
    <w:name w:val="gmail-msonormal"/>
    <w:basedOn w:val="Normal"/>
    <w:rsid w:val="00A700EB"/>
    <w:pPr>
      <w:spacing w:before="100" w:beforeAutospacing="1" w:after="100" w:afterAutospacing="1"/>
    </w:pPr>
    <w:rPr>
      <w:rFonts w:ascii="Times New Roman" w:hAnsi="Times New Roman"/>
      <w:b w:val="0"/>
      <w:i w:val="0"/>
      <w:szCs w:val="24"/>
    </w:rPr>
  </w:style>
  <w:style w:type="paragraph" w:customStyle="1" w:styleId="gmail-msolistparagraph">
    <w:name w:val="gmail-msolistparagraph"/>
    <w:basedOn w:val="Normal"/>
    <w:rsid w:val="00A700EB"/>
    <w:pPr>
      <w:spacing w:before="100" w:beforeAutospacing="1" w:after="100" w:afterAutospacing="1"/>
    </w:pPr>
    <w:rPr>
      <w:rFonts w:ascii="Times New Roman" w:hAnsi="Times New Roman"/>
      <w:b w:val="0"/>
      <w:i w:val="0"/>
      <w:szCs w:val="24"/>
    </w:rPr>
  </w:style>
  <w:style w:type="paragraph" w:styleId="NormalWeb">
    <w:name w:val="Normal (Web)"/>
    <w:basedOn w:val="Normal"/>
    <w:uiPriority w:val="99"/>
    <w:unhideWhenUsed/>
    <w:rsid w:val="00A700EB"/>
    <w:pPr>
      <w:spacing w:before="100" w:beforeAutospacing="1" w:after="100" w:afterAutospacing="1"/>
    </w:pPr>
    <w:rPr>
      <w:rFonts w:ascii="Times New Roman" w:hAnsi="Times New Roman"/>
      <w:b w:val="0"/>
      <w:i w:val="0"/>
      <w:szCs w:val="24"/>
    </w:rPr>
  </w:style>
  <w:style w:type="character" w:styleId="Forte">
    <w:name w:val="Strong"/>
    <w:basedOn w:val="Fontepargpadro"/>
    <w:uiPriority w:val="22"/>
    <w:qFormat/>
    <w:rsid w:val="00A700EB"/>
    <w:rPr>
      <w:b/>
      <w:bCs/>
    </w:rPr>
  </w:style>
  <w:style w:type="paragraph" w:styleId="Corpodetexto">
    <w:name w:val="Body Text"/>
    <w:basedOn w:val="Normal"/>
    <w:link w:val="CorpodetextoChar"/>
    <w:uiPriority w:val="1"/>
    <w:unhideWhenUsed/>
    <w:qFormat/>
    <w:rsid w:val="00A700EB"/>
    <w:pPr>
      <w:widowControl w:val="0"/>
    </w:pPr>
    <w:rPr>
      <w:rFonts w:ascii="Times New Roman" w:hAnsi="Times New Roman"/>
      <w:b w:val="0"/>
      <w:i w:val="0"/>
      <w:szCs w:val="24"/>
      <w:lang w:val="en-US"/>
    </w:rPr>
  </w:style>
  <w:style w:type="character" w:customStyle="1" w:styleId="CorpodetextoChar">
    <w:name w:val="Corpo de texto Char"/>
    <w:basedOn w:val="Fontepargpadro"/>
    <w:link w:val="Corpodetexto"/>
    <w:uiPriority w:val="1"/>
    <w:rsid w:val="00A700EB"/>
    <w:rPr>
      <w:rFonts w:ascii="Times New Roman" w:eastAsia="Times New Roman" w:hAnsi="Times New Roman" w:cs="Times New Roman"/>
      <w:sz w:val="24"/>
      <w:szCs w:val="24"/>
      <w:lang w:val="en-US" w:eastAsia="pt-BR"/>
    </w:rPr>
  </w:style>
  <w:style w:type="paragraph" w:customStyle="1" w:styleId="Normal1">
    <w:name w:val="Normal1"/>
    <w:rsid w:val="00A700EB"/>
    <w:pPr>
      <w:spacing w:after="0" w:line="240" w:lineRule="auto"/>
    </w:pPr>
    <w:rPr>
      <w:rFonts w:ascii="Times New Roman" w:eastAsia="Times New Roman" w:hAnsi="Times New Roman" w:cs="Times New Roman"/>
      <w:sz w:val="24"/>
      <w:szCs w:val="24"/>
      <w:lang w:eastAsia="pt-BR"/>
    </w:rPr>
  </w:style>
  <w:style w:type="paragraph" w:customStyle="1" w:styleId="yiv6474489647ydp7d2e5caeyiv6677340968msonormal">
    <w:name w:val="yiv6474489647ydp7d2e5caeyiv6677340968msonormal"/>
    <w:basedOn w:val="Normal"/>
    <w:rsid w:val="00A700EB"/>
    <w:pPr>
      <w:spacing w:before="100" w:beforeAutospacing="1" w:after="100" w:afterAutospacing="1"/>
    </w:pPr>
    <w:rPr>
      <w:rFonts w:ascii="Times New Roman" w:hAnsi="Times New Roman"/>
      <w:b w:val="0"/>
      <w:i w:val="0"/>
      <w:szCs w:val="24"/>
    </w:rPr>
  </w:style>
  <w:style w:type="paragraph" w:customStyle="1" w:styleId="Ttulo31">
    <w:name w:val="Título 31"/>
    <w:basedOn w:val="Normal"/>
    <w:uiPriority w:val="1"/>
    <w:qFormat/>
    <w:rsid w:val="00A700EB"/>
    <w:pPr>
      <w:widowControl w:val="0"/>
      <w:autoSpaceDE w:val="0"/>
      <w:autoSpaceDN w:val="0"/>
      <w:ind w:left="573" w:right="573"/>
      <w:jc w:val="center"/>
      <w:outlineLvl w:val="3"/>
    </w:pPr>
    <w:rPr>
      <w:rFonts w:ascii="Arial" w:eastAsia="Arial" w:hAnsi="Arial" w:cs="Arial"/>
      <w:bCs/>
      <w:i w:val="0"/>
      <w:szCs w:val="24"/>
      <w:lang w:val="pt-PT" w:eastAsia="en-US"/>
    </w:rPr>
  </w:style>
  <w:style w:type="paragraph" w:customStyle="1" w:styleId="PargrafoLei">
    <w:name w:val="_ParágrafoLei"/>
    <w:basedOn w:val="Normal"/>
    <w:rsid w:val="005645E8"/>
    <w:pPr>
      <w:suppressAutoHyphens/>
      <w:autoSpaceDN w:val="0"/>
      <w:spacing w:after="159" w:line="360" w:lineRule="auto"/>
      <w:jc w:val="both"/>
    </w:pPr>
    <w:rPr>
      <w:rFonts w:ascii="Liberation Serif" w:eastAsia="NSimSun" w:hAnsi="Liberation Serif" w:cs="Lucida Sans"/>
      <w:b w:val="0"/>
      <w:i w:val="0"/>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291</Words>
  <Characters>1576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2025-10-01T13:01:00Z</cp:lastPrinted>
  <dcterms:created xsi:type="dcterms:W3CDTF">2025-10-15T12:50:00Z</dcterms:created>
  <dcterms:modified xsi:type="dcterms:W3CDTF">2025-10-15T12:50:00Z</dcterms:modified>
</cp:coreProperties>
</file>